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color w:val="auto"/>
          <w:sz w:val="32"/>
          <w:szCs w:val="32"/>
        </w:rPr>
      </w:pPr>
      <w:bookmarkStart w:id="0" w:name="_GoBack"/>
      <w:bookmarkEnd w:id="0"/>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2</w:t>
      </w:r>
    </w:p>
    <w:p>
      <w:pPr>
        <w:jc w:val="center"/>
        <w:rPr>
          <w:rFonts w:ascii="黑体" w:hAnsi="黑体" w:eastAsia="黑体"/>
          <w:color w:val="auto"/>
          <w:sz w:val="40"/>
          <w:szCs w:val="40"/>
        </w:rPr>
      </w:pPr>
      <w:r>
        <w:rPr>
          <w:rFonts w:hint="eastAsia" w:ascii="方正小标宋简体" w:hAnsi="方正小标宋简体" w:eastAsia="方正小标宋简体" w:cs="方正小标宋简体"/>
          <w:color w:val="auto"/>
          <w:sz w:val="44"/>
          <w:szCs w:val="44"/>
          <w:lang w:eastAsia="zh-CN"/>
        </w:rPr>
        <w:t>物体打击事故典型管控措施指导手册</w:t>
      </w:r>
    </w:p>
    <w:p>
      <w:pPr>
        <w:jc w:val="center"/>
        <w:rPr>
          <w:rFonts w:ascii="黑体" w:hAnsi="黑体" w:eastAsia="黑体"/>
          <w:color w:val="auto"/>
          <w:sz w:val="40"/>
          <w:szCs w:val="40"/>
        </w:rPr>
      </w:pPr>
    </w:p>
    <w:p>
      <w:pPr>
        <w:rPr>
          <w:rFonts w:ascii="宋体" w:hAnsi="宋体" w:eastAsia="宋体"/>
          <w:color w:val="auto"/>
          <w:sz w:val="28"/>
          <w:szCs w:val="32"/>
        </w:rPr>
      </w:pPr>
      <w:r>
        <w:rPr>
          <w:rFonts w:hint="eastAsia" w:ascii="楷体_GB2312" w:hAnsi="楷体_GB2312" w:eastAsia="楷体_GB2312" w:cs="楷体_GB2312"/>
          <w:color w:val="auto"/>
          <w:sz w:val="28"/>
          <w:szCs w:val="32"/>
        </w:rPr>
        <w:t>1.通用物体打击事故管控措施</w:t>
      </w:r>
    </w:p>
    <w:tbl>
      <w:tblPr>
        <w:tblStyle w:val="4"/>
        <w:tblW w:w="14894" w:type="dxa"/>
        <w:tblInd w:w="0" w:type="dxa"/>
        <w:tblLayout w:type="fixed"/>
        <w:tblCellMar>
          <w:top w:w="0" w:type="dxa"/>
          <w:left w:w="108" w:type="dxa"/>
          <w:bottom w:w="0" w:type="dxa"/>
          <w:right w:w="108" w:type="dxa"/>
        </w:tblCellMar>
      </w:tblPr>
      <w:tblGrid>
        <w:gridCol w:w="474"/>
        <w:gridCol w:w="1054"/>
        <w:gridCol w:w="1778"/>
        <w:gridCol w:w="2058"/>
        <w:gridCol w:w="2606"/>
        <w:gridCol w:w="3179"/>
        <w:gridCol w:w="3745"/>
      </w:tblGrid>
      <w:tr>
        <w:tblPrEx>
          <w:tblCellMar>
            <w:top w:w="0" w:type="dxa"/>
            <w:left w:w="108" w:type="dxa"/>
            <w:bottom w:w="0" w:type="dxa"/>
            <w:right w:w="108" w:type="dxa"/>
          </w:tblCellMar>
        </w:tblPrEx>
        <w:trPr>
          <w:trHeight w:val="680" w:hRule="atLeast"/>
        </w:trPr>
        <w:tc>
          <w:tcPr>
            <w:tcW w:w="4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黑体" w:hAnsi="黑体" w:eastAsia="黑体" w:cs="黑体"/>
                <w:color w:val="auto"/>
                <w:kern w:val="0"/>
                <w:szCs w:val="21"/>
              </w:rPr>
            </w:pPr>
            <w:r>
              <w:rPr>
                <w:rFonts w:hint="eastAsia" w:ascii="黑体" w:hAnsi="黑体" w:eastAsia="黑体" w:cs="黑体"/>
                <w:color w:val="auto"/>
                <w:kern w:val="0"/>
                <w:szCs w:val="21"/>
              </w:rPr>
              <w:t>序号</w:t>
            </w:r>
          </w:p>
        </w:tc>
        <w:tc>
          <w:tcPr>
            <w:tcW w:w="10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黑体"/>
                <w:color w:val="auto"/>
                <w:kern w:val="0"/>
                <w:szCs w:val="21"/>
              </w:rPr>
            </w:pPr>
            <w:r>
              <w:rPr>
                <w:rFonts w:hint="eastAsia" w:ascii="黑体" w:hAnsi="黑体" w:eastAsia="黑体" w:cs="黑体"/>
                <w:color w:val="auto"/>
                <w:kern w:val="0"/>
                <w:szCs w:val="21"/>
              </w:rPr>
              <w:t>危险部件分类</w:t>
            </w:r>
          </w:p>
        </w:tc>
        <w:tc>
          <w:tcPr>
            <w:tcW w:w="177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黑体"/>
                <w:color w:val="auto"/>
                <w:kern w:val="0"/>
                <w:szCs w:val="21"/>
              </w:rPr>
            </w:pPr>
            <w:r>
              <w:rPr>
                <w:rFonts w:hint="eastAsia" w:ascii="黑体" w:hAnsi="黑体" w:eastAsia="黑体" w:cs="黑体"/>
                <w:color w:val="auto"/>
                <w:kern w:val="0"/>
                <w:szCs w:val="21"/>
              </w:rPr>
              <w:t>典型设备设施或作业活动举例</w:t>
            </w:r>
          </w:p>
        </w:tc>
        <w:tc>
          <w:tcPr>
            <w:tcW w:w="205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黑体"/>
                <w:color w:val="auto"/>
                <w:kern w:val="0"/>
                <w:szCs w:val="21"/>
              </w:rPr>
            </w:pPr>
            <w:r>
              <w:rPr>
                <w:rFonts w:hint="eastAsia" w:ascii="黑体" w:hAnsi="黑体" w:eastAsia="黑体" w:cs="黑体"/>
                <w:color w:val="auto"/>
                <w:kern w:val="0"/>
                <w:szCs w:val="21"/>
              </w:rPr>
              <w:t>事故原因</w:t>
            </w:r>
          </w:p>
        </w:tc>
        <w:tc>
          <w:tcPr>
            <w:tcW w:w="260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黑体"/>
                <w:color w:val="auto"/>
                <w:kern w:val="0"/>
                <w:szCs w:val="21"/>
              </w:rPr>
            </w:pPr>
            <w:r>
              <w:rPr>
                <w:rFonts w:hint="eastAsia" w:ascii="黑体" w:hAnsi="黑体" w:eastAsia="黑体" w:cs="黑体"/>
                <w:color w:val="auto"/>
                <w:kern w:val="0"/>
                <w:szCs w:val="21"/>
              </w:rPr>
              <w:t>典型工程技术措施</w:t>
            </w:r>
          </w:p>
        </w:tc>
        <w:tc>
          <w:tcPr>
            <w:tcW w:w="31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黑体"/>
                <w:color w:val="auto"/>
                <w:kern w:val="0"/>
                <w:szCs w:val="21"/>
              </w:rPr>
            </w:pPr>
            <w:r>
              <w:rPr>
                <w:rFonts w:hint="eastAsia" w:ascii="黑体" w:hAnsi="黑体" w:eastAsia="黑体" w:cs="黑体"/>
                <w:color w:val="auto"/>
                <w:kern w:val="0"/>
                <w:szCs w:val="21"/>
              </w:rPr>
              <w:t>典型管理措施</w:t>
            </w:r>
          </w:p>
        </w:tc>
        <w:tc>
          <w:tcPr>
            <w:tcW w:w="374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黑体"/>
                <w:color w:val="auto"/>
                <w:kern w:val="0"/>
                <w:szCs w:val="21"/>
              </w:rPr>
            </w:pPr>
            <w:r>
              <w:rPr>
                <w:rFonts w:hint="eastAsia" w:ascii="黑体" w:hAnsi="黑体" w:eastAsia="黑体" w:cs="黑体"/>
                <w:color w:val="auto"/>
                <w:kern w:val="0"/>
                <w:szCs w:val="21"/>
                <w:lang w:val="en-US" w:eastAsia="zh-CN"/>
              </w:rPr>
              <w:t>典型</w:t>
            </w:r>
            <w:r>
              <w:rPr>
                <w:rFonts w:hint="eastAsia" w:ascii="黑体" w:hAnsi="黑体" w:eastAsia="黑体" w:cs="黑体"/>
                <w:color w:val="auto"/>
                <w:kern w:val="0"/>
                <w:szCs w:val="21"/>
              </w:rPr>
              <w:t>示例</w:t>
            </w:r>
          </w:p>
        </w:tc>
      </w:tr>
      <w:tr>
        <w:tblPrEx>
          <w:tblCellMar>
            <w:top w:w="0" w:type="dxa"/>
            <w:left w:w="108" w:type="dxa"/>
            <w:bottom w:w="0" w:type="dxa"/>
            <w:right w:w="108" w:type="dxa"/>
          </w:tblCellMar>
        </w:tblPrEx>
        <w:trPr>
          <w:trHeight w:val="680" w:hRule="atLeast"/>
        </w:trPr>
        <w:tc>
          <w:tcPr>
            <w:tcW w:w="4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auto"/>
                <w:kern w:val="0"/>
                <w:szCs w:val="21"/>
              </w:rPr>
            </w:pPr>
            <w:r>
              <w:rPr>
                <w:rFonts w:hint="eastAsia" w:ascii="仿宋" w:hAnsi="仿宋" w:eastAsia="仿宋" w:cs="仿宋"/>
                <w:color w:val="auto"/>
                <w:szCs w:val="21"/>
              </w:rPr>
              <w:t>1</w:t>
            </w:r>
          </w:p>
        </w:tc>
        <w:tc>
          <w:tcPr>
            <w:tcW w:w="105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b/>
                <w:bCs/>
                <w:color w:val="auto"/>
                <w:kern w:val="0"/>
                <w:szCs w:val="21"/>
              </w:rPr>
            </w:pPr>
            <w:r>
              <w:rPr>
                <w:rFonts w:hint="eastAsia" w:ascii="仿宋" w:hAnsi="仿宋" w:eastAsia="仿宋" w:cs="仿宋"/>
                <w:color w:val="auto"/>
                <w:szCs w:val="21"/>
              </w:rPr>
              <w:t>势能或惯性</w:t>
            </w:r>
          </w:p>
        </w:tc>
        <w:tc>
          <w:tcPr>
            <w:tcW w:w="1778"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b/>
                <w:bCs/>
                <w:color w:val="auto"/>
                <w:kern w:val="0"/>
                <w:szCs w:val="21"/>
              </w:rPr>
            </w:pPr>
            <w:r>
              <w:rPr>
                <w:rFonts w:hint="eastAsia" w:ascii="仿宋" w:hAnsi="仿宋" w:eastAsia="仿宋" w:cs="仿宋"/>
                <w:color w:val="auto"/>
                <w:szCs w:val="21"/>
              </w:rPr>
              <w:t>机械加工设备零部件夹持不牢、起重机吊运作业、高处作业。</w:t>
            </w:r>
          </w:p>
        </w:tc>
        <w:tc>
          <w:tcPr>
            <w:tcW w:w="2058"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1.跨越人员作业区域上方吊运作业；吊装、拆装时物料掉落；机械零部件或加工物料意外甩脱抛出。</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2.人员误入正在下降的设施发生挤压、打击事故。</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3.高处扔接工器具或传递物失手；高处放置物品落下伤人。</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4.吊臂支撑工位、平台与墙、柱连接构件断裂坠落。</w:t>
            </w:r>
          </w:p>
          <w:p>
            <w:pPr>
              <w:widowControl/>
              <w:jc w:val="left"/>
              <w:rPr>
                <w:rFonts w:hint="eastAsia" w:ascii="仿宋" w:hAnsi="仿宋" w:eastAsia="仿宋" w:cs="仿宋"/>
                <w:b/>
                <w:bCs/>
                <w:color w:val="auto"/>
                <w:kern w:val="0"/>
                <w:szCs w:val="21"/>
              </w:rPr>
            </w:pPr>
            <w:r>
              <w:rPr>
                <w:rFonts w:hint="eastAsia" w:ascii="仿宋" w:hAnsi="仿宋" w:eastAsia="仿宋" w:cs="仿宋"/>
                <w:color w:val="auto"/>
                <w:szCs w:val="21"/>
              </w:rPr>
              <w:t>5.设备部件、工件松动、脱落等意外飞出。</w:t>
            </w:r>
          </w:p>
        </w:tc>
        <w:tc>
          <w:tcPr>
            <w:tcW w:w="2606"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1.机械部件、工件固定牢固，防护罩（网）完好有效。</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2.起重机设置声、光信号的保险装置；起重机有效设置起升高度限位器、起重量限制器、吊钩防松脱装置。</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3.起重钢丝绳卷筒、钢丝绳端部固定装置完好有效。</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4.高处作业工位、平台连接构件设置冗余备用连接构件。动力旋转工位、平台采取限位措施。</w:t>
            </w:r>
          </w:p>
          <w:p>
            <w:pPr>
              <w:widowControl/>
              <w:jc w:val="left"/>
              <w:rPr>
                <w:rFonts w:hint="eastAsia" w:ascii="仿宋" w:hAnsi="仿宋" w:eastAsia="仿宋" w:cs="仿宋"/>
                <w:b/>
                <w:bCs/>
                <w:color w:val="auto"/>
                <w:kern w:val="0"/>
                <w:szCs w:val="21"/>
              </w:rPr>
            </w:pPr>
            <w:r>
              <w:rPr>
                <w:rFonts w:hint="eastAsia" w:ascii="仿宋" w:hAnsi="仿宋" w:eastAsia="仿宋" w:cs="仿宋"/>
                <w:color w:val="auto"/>
                <w:szCs w:val="21"/>
              </w:rPr>
              <w:t>5.对可能发生工部件意外飞出的设备设施设置强度可靠的防护罩或防护网。</w:t>
            </w:r>
          </w:p>
        </w:tc>
        <w:tc>
          <w:tcPr>
            <w:tcW w:w="317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1.制定简单易行的岗位安全操作要点、应急处置办法，并监督员工执行。</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2.按规定对起重设备定期检查、检验；对设备定期维护保养和隐患排查。</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3.吊装作业区设置“当心吊物”安全警示标志。定期检查、维护保养起重吊索具；严格执行“十不吊”。</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4.正确佩戴安全帽、防护目镜等防打击劳保用品。</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5.对作业特别注意事项进行现场公示（特别是岗位或区域发生过事故的部位）。</w:t>
            </w:r>
          </w:p>
          <w:p>
            <w:pPr>
              <w:widowControl/>
              <w:jc w:val="left"/>
              <w:rPr>
                <w:rFonts w:hint="eastAsia" w:ascii="仿宋" w:hAnsi="仿宋" w:eastAsia="仿宋" w:cs="仿宋"/>
                <w:b/>
                <w:bCs/>
                <w:color w:val="auto"/>
                <w:kern w:val="0"/>
                <w:szCs w:val="21"/>
              </w:rPr>
            </w:pPr>
            <w:r>
              <w:rPr>
                <w:rFonts w:hint="eastAsia" w:ascii="仿宋" w:hAnsi="仿宋" w:eastAsia="仿宋" w:cs="仿宋"/>
                <w:color w:val="auto"/>
                <w:szCs w:val="21"/>
              </w:rPr>
              <w:t>6.工艺生产过程存在异常工况操作的如机械行业存在对回弹的钢管进行调整作业，企业需要明确操作要求如先停止后方送料再作业或用专用工具远距离调整等，防止伤害事故。</w:t>
            </w:r>
          </w:p>
        </w:tc>
        <w:tc>
          <w:tcPr>
            <w:tcW w:w="374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rPr>
            </w:pPr>
            <w:r>
              <w:rPr>
                <w:rFonts w:hint="eastAsia" w:ascii="仿宋" w:hAnsi="仿宋" w:eastAsia="仿宋" w:cs="仿宋"/>
                <w:color w:val="auto"/>
              </w:rPr>
              <w:drawing>
                <wp:inline distT="0" distB="0" distL="114300" distR="114300">
                  <wp:extent cx="1880870" cy="1775460"/>
                  <wp:effectExtent l="0" t="0" r="11430" b="2540"/>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4"/>
                          <a:stretch>
                            <a:fillRect/>
                          </a:stretch>
                        </pic:blipFill>
                        <pic:spPr>
                          <a:xfrm>
                            <a:off x="0" y="0"/>
                            <a:ext cx="1880870" cy="1775460"/>
                          </a:xfrm>
                          <a:prstGeom prst="rect">
                            <a:avLst/>
                          </a:prstGeom>
                          <a:noFill/>
                          <a:ln>
                            <a:noFill/>
                          </a:ln>
                        </pic:spPr>
                      </pic:pic>
                    </a:graphicData>
                  </a:graphic>
                </wp:inline>
              </w:drawing>
            </w:r>
            <w:r>
              <w:rPr>
                <w:rFonts w:hint="eastAsia" w:ascii="仿宋" w:hAnsi="仿宋" w:eastAsia="仿宋" w:cs="仿宋"/>
                <w:color w:val="auto"/>
              </w:rPr>
              <w:drawing>
                <wp:inline distT="0" distB="0" distL="114300" distR="114300">
                  <wp:extent cx="1940560" cy="1202055"/>
                  <wp:effectExtent l="0" t="0" r="2540" b="4445"/>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pic:cNvPicPr>
                        </pic:nvPicPr>
                        <pic:blipFill>
                          <a:blip r:embed="rId5"/>
                          <a:stretch>
                            <a:fillRect/>
                          </a:stretch>
                        </pic:blipFill>
                        <pic:spPr>
                          <a:xfrm>
                            <a:off x="0" y="0"/>
                            <a:ext cx="1940560" cy="1202055"/>
                          </a:xfrm>
                          <a:prstGeom prst="rect">
                            <a:avLst/>
                          </a:prstGeom>
                          <a:noFill/>
                          <a:ln>
                            <a:noFill/>
                          </a:ln>
                        </pic:spPr>
                      </pic:pic>
                    </a:graphicData>
                  </a:graphic>
                </wp:inline>
              </w:drawing>
            </w:r>
          </w:p>
          <w:p>
            <w:pPr>
              <w:widowControl/>
              <w:jc w:val="center"/>
              <w:rPr>
                <w:rFonts w:hint="eastAsia" w:ascii="仿宋" w:hAnsi="仿宋" w:eastAsia="仿宋" w:cs="仿宋"/>
                <w:b/>
                <w:bCs/>
                <w:color w:val="auto"/>
                <w:kern w:val="0"/>
                <w:szCs w:val="21"/>
                <w:lang w:val="en-US"/>
              </w:rPr>
            </w:pPr>
            <w:r>
              <w:rPr>
                <w:rFonts w:hint="eastAsia" w:ascii="仿宋" w:hAnsi="仿宋" w:eastAsia="仿宋" w:cs="仿宋"/>
                <w:color w:val="auto"/>
                <w:vertAlign w:val="baseline"/>
                <w:lang w:val="en-US" w:eastAsia="zh-CN"/>
              </w:rPr>
              <w:t>带示宽灯、加装倒车影像、雷达防范；防止人员进入物体打击区措施示意</w:t>
            </w:r>
          </w:p>
        </w:tc>
      </w:tr>
      <w:tr>
        <w:tblPrEx>
          <w:tblCellMar>
            <w:top w:w="0" w:type="dxa"/>
            <w:left w:w="108" w:type="dxa"/>
            <w:bottom w:w="0" w:type="dxa"/>
            <w:right w:w="108" w:type="dxa"/>
          </w:tblCellMar>
        </w:tblPrEx>
        <w:trPr>
          <w:trHeight w:val="680" w:hRule="atLeast"/>
        </w:trPr>
        <w:tc>
          <w:tcPr>
            <w:tcW w:w="4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auto"/>
                <w:kern w:val="0"/>
                <w:szCs w:val="21"/>
              </w:rPr>
            </w:pPr>
            <w:r>
              <w:rPr>
                <w:rFonts w:hint="eastAsia" w:ascii="仿宋" w:hAnsi="仿宋" w:eastAsia="仿宋" w:cs="仿宋"/>
                <w:color w:val="auto"/>
                <w:szCs w:val="21"/>
              </w:rPr>
              <w:t>2</w:t>
            </w:r>
          </w:p>
        </w:tc>
        <w:tc>
          <w:tcPr>
            <w:tcW w:w="105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b/>
                <w:bCs/>
                <w:color w:val="auto"/>
                <w:kern w:val="0"/>
                <w:szCs w:val="21"/>
              </w:rPr>
            </w:pPr>
            <w:r>
              <w:rPr>
                <w:rFonts w:hint="eastAsia" w:ascii="仿宋" w:hAnsi="仿宋" w:eastAsia="仿宋" w:cs="仿宋"/>
                <w:color w:val="auto"/>
                <w:szCs w:val="21"/>
              </w:rPr>
              <w:t>内能的意外释放</w:t>
            </w:r>
          </w:p>
        </w:tc>
        <w:tc>
          <w:tcPr>
            <w:tcW w:w="1778"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b/>
                <w:bCs/>
                <w:color w:val="auto"/>
                <w:kern w:val="0"/>
                <w:szCs w:val="21"/>
              </w:rPr>
            </w:pPr>
            <w:r>
              <w:rPr>
                <w:rFonts w:hint="eastAsia" w:ascii="仿宋" w:hAnsi="仿宋" w:eastAsia="仿宋" w:cs="仿宋"/>
                <w:color w:val="auto"/>
                <w:szCs w:val="21"/>
              </w:rPr>
              <w:t>机械工件或部件意外飞出、带压设备意外打开等。</w:t>
            </w:r>
          </w:p>
        </w:tc>
        <w:tc>
          <w:tcPr>
            <w:tcW w:w="2058"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1.机械加工设备未设置安全装置或发生松动、脱落等意外飞出。</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2.钢板、钢卷等高弹性物品输运、解卷过程发生回弹。</w:t>
            </w:r>
          </w:p>
          <w:p>
            <w:pPr>
              <w:widowControl/>
              <w:jc w:val="left"/>
              <w:rPr>
                <w:rFonts w:hint="eastAsia" w:ascii="仿宋" w:hAnsi="仿宋" w:eastAsia="仿宋" w:cs="仿宋"/>
                <w:b/>
                <w:bCs/>
                <w:color w:val="auto"/>
                <w:kern w:val="0"/>
                <w:szCs w:val="21"/>
              </w:rPr>
            </w:pPr>
            <w:r>
              <w:rPr>
                <w:rFonts w:hint="eastAsia" w:ascii="仿宋" w:hAnsi="仿宋" w:eastAsia="仿宋" w:cs="仿宋"/>
                <w:color w:val="auto"/>
                <w:szCs w:val="21"/>
              </w:rPr>
              <w:t>3.操作人员违章作业。</w:t>
            </w:r>
          </w:p>
        </w:tc>
        <w:tc>
          <w:tcPr>
            <w:tcW w:w="2606"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1.对可能发生工部件意外飞出的设备设施增加防护罩或防护网。</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2.钢卷输运绑扎牢固，未能落稳时，严禁靠近，解卷区域禁止靠近、停留。</w:t>
            </w:r>
          </w:p>
          <w:p>
            <w:pPr>
              <w:widowControl/>
              <w:jc w:val="left"/>
              <w:rPr>
                <w:rFonts w:hint="eastAsia" w:ascii="仿宋" w:hAnsi="仿宋" w:eastAsia="仿宋" w:cs="仿宋"/>
                <w:b/>
                <w:bCs/>
                <w:color w:val="auto"/>
                <w:kern w:val="0"/>
                <w:szCs w:val="21"/>
              </w:rPr>
            </w:pPr>
            <w:r>
              <w:rPr>
                <w:rFonts w:hint="eastAsia" w:ascii="仿宋" w:hAnsi="仿宋" w:eastAsia="仿宋" w:cs="仿宋"/>
                <w:color w:val="auto"/>
                <w:szCs w:val="21"/>
              </w:rPr>
              <w:t>3.对带压设备防止意外打开设置连锁如建材行业的蒸压釜。</w:t>
            </w:r>
          </w:p>
        </w:tc>
        <w:tc>
          <w:tcPr>
            <w:tcW w:w="317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1.设置显著的安全警示标识。</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2.制定简单易行的安全操作要点及应急处置办法，并监督员工执行。</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3.定期维护保养设备设施及检查防护设施是否有效。</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4.正确佩戴安全帽、防护目镜等防打击劳保用品。</w:t>
            </w:r>
          </w:p>
          <w:p>
            <w:pPr>
              <w:widowControl/>
              <w:jc w:val="left"/>
              <w:rPr>
                <w:rFonts w:hint="eastAsia" w:ascii="仿宋" w:hAnsi="仿宋" w:eastAsia="仿宋" w:cs="仿宋"/>
                <w:b/>
                <w:bCs/>
                <w:color w:val="auto"/>
                <w:kern w:val="0"/>
                <w:szCs w:val="21"/>
              </w:rPr>
            </w:pPr>
            <w:r>
              <w:rPr>
                <w:rFonts w:hint="eastAsia" w:ascii="仿宋" w:hAnsi="仿宋" w:eastAsia="仿宋" w:cs="仿宋"/>
                <w:color w:val="auto"/>
                <w:szCs w:val="21"/>
              </w:rPr>
              <w:t>5.对岗位操作特别注意事项进行现场公示（特别是发生过事故的部位）。</w:t>
            </w:r>
          </w:p>
        </w:tc>
        <w:tc>
          <w:tcPr>
            <w:tcW w:w="374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szCs w:val="21"/>
              </w:rPr>
            </w:pPr>
            <w:r>
              <w:rPr>
                <w:rFonts w:hint="eastAsia" w:ascii="仿宋" w:hAnsi="仿宋" w:eastAsia="仿宋" w:cs="仿宋"/>
                <w:color w:val="auto"/>
                <w:szCs w:val="21"/>
              </w:rPr>
              <w:drawing>
                <wp:inline distT="0" distB="0" distL="0" distR="0">
                  <wp:extent cx="2169160" cy="1631950"/>
                  <wp:effectExtent l="0" t="0" r="2540" b="635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
                          <a:stretch>
                            <a:fillRect/>
                          </a:stretch>
                        </pic:blipFill>
                        <pic:spPr>
                          <a:xfrm>
                            <a:off x="0" y="0"/>
                            <a:ext cx="2177079" cy="1638508"/>
                          </a:xfrm>
                          <a:prstGeom prst="rect">
                            <a:avLst/>
                          </a:prstGeom>
                          <a:noFill/>
                          <a:ln w="9525">
                            <a:noFill/>
                          </a:ln>
                        </pic:spPr>
                      </pic:pic>
                    </a:graphicData>
                  </a:graphic>
                </wp:inline>
              </w:drawing>
            </w:r>
          </w:p>
          <w:p>
            <w:pPr>
              <w:widowControl/>
              <w:jc w:val="center"/>
              <w:rPr>
                <w:rFonts w:hint="eastAsia" w:ascii="仿宋" w:hAnsi="仿宋" w:eastAsia="仿宋" w:cs="仿宋"/>
                <w:b/>
                <w:bCs/>
                <w:color w:val="auto"/>
                <w:kern w:val="0"/>
                <w:szCs w:val="21"/>
                <w:lang w:val="en-US" w:eastAsia="zh-CN"/>
              </w:rPr>
            </w:pPr>
            <w:r>
              <w:rPr>
                <w:rFonts w:hint="eastAsia" w:ascii="仿宋" w:hAnsi="仿宋" w:eastAsia="仿宋" w:cs="仿宋"/>
                <w:color w:val="auto"/>
                <w:szCs w:val="21"/>
              </w:rPr>
              <w:t>防护罩或防护网</w:t>
            </w:r>
            <w:r>
              <w:rPr>
                <w:rFonts w:hint="eastAsia" w:ascii="仿宋" w:hAnsi="仿宋" w:eastAsia="仿宋" w:cs="仿宋"/>
                <w:color w:val="auto"/>
                <w:szCs w:val="21"/>
                <w:lang w:val="en-US" w:eastAsia="zh-CN"/>
              </w:rPr>
              <w:t>示意</w:t>
            </w:r>
          </w:p>
        </w:tc>
      </w:tr>
      <w:tr>
        <w:tblPrEx>
          <w:tblCellMar>
            <w:top w:w="0" w:type="dxa"/>
            <w:left w:w="108" w:type="dxa"/>
            <w:bottom w:w="0" w:type="dxa"/>
            <w:right w:w="108" w:type="dxa"/>
          </w:tblCellMar>
        </w:tblPrEx>
        <w:trPr>
          <w:trHeight w:val="680" w:hRule="atLeast"/>
        </w:trPr>
        <w:tc>
          <w:tcPr>
            <w:tcW w:w="4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auto"/>
                <w:kern w:val="0"/>
                <w:szCs w:val="21"/>
              </w:rPr>
            </w:pPr>
            <w:r>
              <w:rPr>
                <w:rFonts w:hint="eastAsia" w:ascii="仿宋" w:hAnsi="仿宋" w:eastAsia="仿宋" w:cs="仿宋"/>
                <w:color w:val="auto"/>
                <w:szCs w:val="21"/>
              </w:rPr>
              <w:t>3</w:t>
            </w:r>
          </w:p>
        </w:tc>
        <w:tc>
          <w:tcPr>
            <w:tcW w:w="105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b/>
                <w:bCs/>
                <w:color w:val="auto"/>
                <w:kern w:val="0"/>
                <w:szCs w:val="21"/>
              </w:rPr>
            </w:pPr>
            <w:r>
              <w:rPr>
                <w:rFonts w:hint="eastAsia" w:ascii="仿宋" w:hAnsi="仿宋" w:eastAsia="仿宋" w:cs="仿宋"/>
                <w:color w:val="auto"/>
                <w:szCs w:val="21"/>
              </w:rPr>
              <w:t>稳定性差</w:t>
            </w:r>
          </w:p>
        </w:tc>
        <w:tc>
          <w:tcPr>
            <w:tcW w:w="1778"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b/>
                <w:bCs/>
                <w:color w:val="auto"/>
                <w:kern w:val="0"/>
                <w:szCs w:val="21"/>
              </w:rPr>
            </w:pPr>
            <w:r>
              <w:rPr>
                <w:rFonts w:hint="eastAsia" w:ascii="仿宋" w:hAnsi="仿宋" w:eastAsia="仿宋" w:cs="仿宋"/>
                <w:color w:val="auto"/>
                <w:szCs w:val="21"/>
              </w:rPr>
              <w:t>原料、成品料仓、堆场。</w:t>
            </w:r>
          </w:p>
        </w:tc>
        <w:tc>
          <w:tcPr>
            <w:tcW w:w="2058"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1.料仓、堆场通道狭窄。</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2.货物堆放过高、超宽、超重、倾斜不稳。</w:t>
            </w:r>
          </w:p>
          <w:p>
            <w:pPr>
              <w:widowControl/>
              <w:jc w:val="left"/>
              <w:rPr>
                <w:rFonts w:hint="eastAsia" w:ascii="仿宋" w:hAnsi="仿宋" w:eastAsia="仿宋" w:cs="仿宋"/>
                <w:b/>
                <w:bCs/>
                <w:color w:val="auto"/>
                <w:kern w:val="0"/>
                <w:szCs w:val="21"/>
              </w:rPr>
            </w:pPr>
            <w:r>
              <w:rPr>
                <w:rFonts w:hint="eastAsia" w:ascii="仿宋" w:hAnsi="仿宋" w:eastAsia="仿宋" w:cs="仿宋"/>
                <w:color w:val="auto"/>
                <w:szCs w:val="21"/>
              </w:rPr>
              <w:t>3.临时放置的设施如长梯等发生倾倒</w:t>
            </w:r>
          </w:p>
        </w:tc>
        <w:tc>
          <w:tcPr>
            <w:tcW w:w="2606"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1.料仓、堆场划设通道，物件堆放平稳，不得超高堆放，防倒塌措施有效，不得堵塞通道。</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2.具有滚动、滑动等风险的物件堆放采取可靠防坍塌措施如专用器具。</w:t>
            </w:r>
          </w:p>
          <w:p>
            <w:pPr>
              <w:widowControl/>
              <w:jc w:val="left"/>
              <w:rPr>
                <w:rFonts w:hint="eastAsia" w:ascii="仿宋" w:hAnsi="仿宋" w:eastAsia="仿宋" w:cs="仿宋"/>
                <w:b/>
                <w:bCs/>
                <w:color w:val="auto"/>
                <w:kern w:val="0"/>
                <w:szCs w:val="21"/>
              </w:rPr>
            </w:pPr>
            <w:r>
              <w:rPr>
                <w:rFonts w:hint="eastAsia" w:ascii="仿宋" w:hAnsi="仿宋" w:eastAsia="仿宋" w:cs="仿宋"/>
                <w:color w:val="auto"/>
                <w:szCs w:val="21"/>
              </w:rPr>
              <w:t>3.移动梯台放置稳固，采取防滑、制动措施。</w:t>
            </w:r>
          </w:p>
        </w:tc>
        <w:tc>
          <w:tcPr>
            <w:tcW w:w="317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1.制定简单易行的岗位安全操作要点，并监督员工执行。</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2.设置“当心车辆”“小心坍塌”等安全警示标志。</w:t>
            </w:r>
          </w:p>
          <w:p>
            <w:pPr>
              <w:widowControl/>
              <w:jc w:val="left"/>
              <w:rPr>
                <w:rFonts w:hint="eastAsia" w:ascii="仿宋" w:hAnsi="仿宋" w:eastAsia="仿宋" w:cs="仿宋"/>
                <w:b/>
                <w:bCs/>
                <w:color w:val="auto"/>
                <w:kern w:val="0"/>
                <w:szCs w:val="21"/>
              </w:rPr>
            </w:pPr>
            <w:r>
              <w:rPr>
                <w:rFonts w:hint="eastAsia" w:ascii="仿宋" w:hAnsi="仿宋" w:eastAsia="仿宋" w:cs="仿宋"/>
                <w:color w:val="auto"/>
                <w:szCs w:val="21"/>
              </w:rPr>
              <w:t>3.对于超高或显著倾翻风险的设施应立即进行整治。</w:t>
            </w:r>
          </w:p>
        </w:tc>
        <w:tc>
          <w:tcPr>
            <w:tcW w:w="374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szCs w:val="21"/>
              </w:rPr>
            </w:pPr>
            <w:r>
              <w:rPr>
                <w:rFonts w:hint="eastAsia" w:ascii="仿宋" w:hAnsi="仿宋" w:eastAsia="仿宋" w:cs="仿宋"/>
                <w:color w:val="auto"/>
                <w:szCs w:val="21"/>
              </w:rPr>
              <w:drawing>
                <wp:inline distT="0" distB="0" distL="0" distR="0">
                  <wp:extent cx="2148840" cy="1449705"/>
                  <wp:effectExtent l="0" t="0" r="3810" b="0"/>
                  <wp:docPr id="11" name="图片 10" descr="fc22fc4853a08fde3a2ea56d09fc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fc22fc4853a08fde3a2ea56d09fc4e0"/>
                          <pic:cNvPicPr>
                            <a:picLocks noChangeAspect="1"/>
                          </pic:cNvPicPr>
                        </pic:nvPicPr>
                        <pic:blipFill>
                          <a:blip r:embed="rId7"/>
                          <a:stretch>
                            <a:fillRect/>
                          </a:stretch>
                        </pic:blipFill>
                        <pic:spPr>
                          <a:xfrm>
                            <a:off x="0" y="0"/>
                            <a:ext cx="2157774" cy="1456088"/>
                          </a:xfrm>
                          <a:prstGeom prst="rect">
                            <a:avLst/>
                          </a:prstGeom>
                          <a:noFill/>
                          <a:ln w="9525">
                            <a:noFill/>
                          </a:ln>
                        </pic:spPr>
                      </pic:pic>
                    </a:graphicData>
                  </a:graphic>
                </wp:inline>
              </w:drawing>
            </w:r>
          </w:p>
          <w:p>
            <w:pPr>
              <w:widowControl/>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专用工器具防止意外滚动、滑动示意</w:t>
            </w:r>
          </w:p>
        </w:tc>
      </w:tr>
      <w:tr>
        <w:tblPrEx>
          <w:tblCellMar>
            <w:top w:w="0" w:type="dxa"/>
            <w:left w:w="108" w:type="dxa"/>
            <w:bottom w:w="0" w:type="dxa"/>
            <w:right w:w="108" w:type="dxa"/>
          </w:tblCellMar>
        </w:tblPrEx>
        <w:trPr>
          <w:trHeight w:val="680" w:hRule="atLeast"/>
        </w:trPr>
        <w:tc>
          <w:tcPr>
            <w:tcW w:w="4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auto"/>
                <w:kern w:val="0"/>
                <w:szCs w:val="21"/>
              </w:rPr>
            </w:pPr>
            <w:r>
              <w:rPr>
                <w:rFonts w:hint="eastAsia" w:ascii="仿宋" w:hAnsi="仿宋" w:eastAsia="仿宋" w:cs="仿宋"/>
                <w:color w:val="auto"/>
                <w:szCs w:val="21"/>
              </w:rPr>
              <w:t>4</w:t>
            </w:r>
          </w:p>
        </w:tc>
        <w:tc>
          <w:tcPr>
            <w:tcW w:w="105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b/>
                <w:bCs/>
                <w:color w:val="auto"/>
                <w:kern w:val="0"/>
                <w:szCs w:val="21"/>
              </w:rPr>
            </w:pPr>
            <w:r>
              <w:rPr>
                <w:rFonts w:hint="eastAsia" w:ascii="仿宋" w:hAnsi="仿宋" w:eastAsia="仿宋" w:cs="仿宋"/>
                <w:color w:val="auto"/>
                <w:szCs w:val="21"/>
              </w:rPr>
              <w:t>高危险作业</w:t>
            </w:r>
          </w:p>
        </w:tc>
        <w:tc>
          <w:tcPr>
            <w:tcW w:w="1778"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b/>
                <w:bCs/>
                <w:color w:val="auto"/>
                <w:kern w:val="0"/>
                <w:szCs w:val="21"/>
              </w:rPr>
            </w:pPr>
            <w:r>
              <w:rPr>
                <w:rFonts w:hint="eastAsia" w:ascii="仿宋" w:hAnsi="仿宋" w:eastAsia="仿宋" w:cs="仿宋"/>
                <w:color w:val="auto"/>
                <w:szCs w:val="21"/>
              </w:rPr>
              <w:t>伴随高处、起重、有限空间等的检维修或施工作业</w:t>
            </w:r>
          </w:p>
        </w:tc>
        <w:tc>
          <w:tcPr>
            <w:tcW w:w="2058"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1.未编制施工或检维修方案；未办理作业票以及开展风险辨识和现场确认。</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2.未进行相关培训或资质、证书审查。</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3.脚手架搭接不牢靠或承重能力不足。</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4.起重作业未遵守十不吊，吊装物倾翻区站人。</w:t>
            </w:r>
          </w:p>
          <w:p>
            <w:pPr>
              <w:widowControl/>
              <w:jc w:val="left"/>
              <w:rPr>
                <w:rFonts w:hint="eastAsia" w:ascii="仿宋" w:hAnsi="仿宋" w:eastAsia="仿宋" w:cs="仿宋"/>
                <w:b/>
                <w:bCs/>
                <w:color w:val="auto"/>
                <w:kern w:val="0"/>
                <w:szCs w:val="21"/>
              </w:rPr>
            </w:pPr>
            <w:r>
              <w:rPr>
                <w:rFonts w:hint="eastAsia" w:ascii="仿宋" w:hAnsi="仿宋" w:eastAsia="仿宋" w:cs="仿宋"/>
                <w:color w:val="auto"/>
                <w:szCs w:val="21"/>
              </w:rPr>
              <w:t>5.恶劣天气进行作业。</w:t>
            </w:r>
          </w:p>
        </w:tc>
        <w:tc>
          <w:tcPr>
            <w:tcW w:w="2606"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1.起重作业：</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（1）起重作业钢丝绳无断裂、不缠绕、防脱钩有效；应根据实际情况设置运行阻碍保护、限位开关、极限开关、缓冲器等安全保护装置，且灵敏、可靠。</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（2）起重作业要切实捆绑有效，对于无直接挂钩的物体应根据实际采取兜绳捆绑法或卡绳捆绑法或、卡环连接捆绑法，对于锋利物品应采取防止割断吊装绳具的措施。</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2.高处作业：</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（1）脚手架平台搭建合标牢靠，严禁踩踏未固定、湿滑石棉板或未将安全带高挂系于安全设施上进行作业；作业层外侧应设置高度不小于180mm的档脚版，架体作业层脚手板下应采用安全平网兜底。</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（2）交叉作业时，下层作业位置应处于上层作业的坠落半径之外，在坠落半径内时，必须设置安全防护棚或其他隔离措施。</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（3）拆除或拆卸作业时，下方不得有其他人员；不得上下同时拆除。</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3.有限空间：</w:t>
            </w:r>
          </w:p>
          <w:p>
            <w:pPr>
              <w:widowControl/>
              <w:jc w:val="left"/>
              <w:rPr>
                <w:rFonts w:hint="eastAsia" w:ascii="仿宋" w:hAnsi="仿宋" w:eastAsia="仿宋" w:cs="仿宋"/>
                <w:b/>
                <w:bCs/>
                <w:color w:val="auto"/>
                <w:kern w:val="0"/>
                <w:szCs w:val="21"/>
              </w:rPr>
            </w:pPr>
            <w:r>
              <w:rPr>
                <w:rFonts w:hint="eastAsia" w:ascii="仿宋" w:hAnsi="仿宋" w:eastAsia="仿宋" w:cs="仿宋"/>
                <w:color w:val="auto"/>
                <w:szCs w:val="21"/>
              </w:rPr>
              <w:t>进入有限空间作业如建材清库作业、冶金挖渣等高危险作业，应使用机械手操作代替人工进入作业，防止事故发生。</w:t>
            </w:r>
          </w:p>
        </w:tc>
        <w:tc>
          <w:tcPr>
            <w:tcW w:w="317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1.编制施工或检维修方案；办理作业票、开展风险辨识和制定管控措施。</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2.落实相关人员培训或外包资质、特种工证书审查。</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3.高风险作业现场应设置专门专业的监护人员；可能产生坠物风险时，下部禁止作业，并用警戒线围挡禁止无关人员进入。</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4.起重作业应执行“十不吊”，严禁用手直接扶运或野蛮拖拽吊装物；严禁在倾翻覆盖范围内和有可能坠物的的地方逗留、休息。</w:t>
            </w:r>
          </w:p>
          <w:p>
            <w:pPr>
              <w:widowControl/>
              <w:jc w:val="left"/>
              <w:rPr>
                <w:rFonts w:hint="eastAsia" w:ascii="仿宋" w:hAnsi="仿宋" w:eastAsia="仿宋" w:cs="仿宋"/>
                <w:b/>
                <w:bCs/>
                <w:color w:val="auto"/>
                <w:kern w:val="0"/>
                <w:szCs w:val="21"/>
              </w:rPr>
            </w:pPr>
            <w:r>
              <w:rPr>
                <w:rFonts w:hint="eastAsia" w:ascii="仿宋" w:hAnsi="仿宋" w:eastAsia="仿宋" w:cs="仿宋"/>
                <w:color w:val="auto"/>
                <w:szCs w:val="21"/>
              </w:rPr>
              <w:t>5.作业前后相关负责人必须亲自组织带领专业人员去现场进行确认，严禁只在办公室签字不去现场核查安全条件是否满足要求。</w:t>
            </w:r>
          </w:p>
        </w:tc>
        <w:tc>
          <w:tcPr>
            <w:tcW w:w="374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sz w:val="24"/>
                <w:szCs w:val="24"/>
              </w:rPr>
            </w:pPr>
            <w:r>
              <w:rPr>
                <w:rFonts w:hint="eastAsia" w:ascii="仿宋" w:hAnsi="仿宋" w:eastAsia="仿宋" w:cs="仿宋"/>
                <w:color w:val="auto"/>
              </w:rPr>
              <w:drawing>
                <wp:inline distT="0" distB="0" distL="114300" distR="114300">
                  <wp:extent cx="2183765" cy="1169670"/>
                  <wp:effectExtent l="0" t="0" r="635" b="11430"/>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pic:cNvPicPr>
                            <a:picLocks noChangeAspect="1"/>
                          </pic:cNvPicPr>
                        </pic:nvPicPr>
                        <pic:blipFill>
                          <a:blip r:embed="rId8"/>
                          <a:stretch>
                            <a:fillRect/>
                          </a:stretch>
                        </pic:blipFill>
                        <pic:spPr>
                          <a:xfrm>
                            <a:off x="0" y="0"/>
                            <a:ext cx="2183765" cy="1169670"/>
                          </a:xfrm>
                          <a:prstGeom prst="rect">
                            <a:avLst/>
                          </a:prstGeom>
                          <a:noFill/>
                          <a:ln>
                            <a:noFill/>
                          </a:ln>
                        </pic:spPr>
                      </pic:pic>
                    </a:graphicData>
                  </a:graphic>
                </wp:inline>
              </w:drawing>
            </w:r>
            <w:r>
              <w:rPr>
                <w:rFonts w:hint="eastAsia" w:ascii="仿宋" w:hAnsi="仿宋" w:eastAsia="仿宋" w:cs="仿宋"/>
                <w:color w:val="auto"/>
                <w:szCs w:val="21"/>
                <w:lang w:val="en-US" w:eastAsia="zh-CN"/>
              </w:rPr>
              <w:t>高风险作业风险辨识辨识及管控示意</w:t>
            </w:r>
            <w:r>
              <w:rPr>
                <w:rFonts w:hint="eastAsia" w:ascii="仿宋" w:hAnsi="仿宋" w:eastAsia="仿宋" w:cs="仿宋"/>
                <w:color w:val="auto"/>
                <w:sz w:val="24"/>
                <w:szCs w:val="24"/>
              </w:rPr>
              <w:drawing>
                <wp:inline distT="0" distB="0" distL="114300" distR="114300">
                  <wp:extent cx="2141855" cy="1134745"/>
                  <wp:effectExtent l="0" t="0" r="1270" b="8255"/>
                  <wp:docPr id="5"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descr="IMG_256"/>
                          <pic:cNvPicPr>
                            <a:picLocks noChangeAspect="1"/>
                          </pic:cNvPicPr>
                        </pic:nvPicPr>
                        <pic:blipFill>
                          <a:blip r:embed="rId9"/>
                          <a:stretch>
                            <a:fillRect/>
                          </a:stretch>
                        </pic:blipFill>
                        <pic:spPr>
                          <a:xfrm>
                            <a:off x="0" y="0"/>
                            <a:ext cx="2141855" cy="1134745"/>
                          </a:xfrm>
                          <a:prstGeom prst="rect">
                            <a:avLst/>
                          </a:prstGeom>
                          <a:noFill/>
                          <a:ln w="9525">
                            <a:noFill/>
                          </a:ln>
                        </pic:spPr>
                      </pic:pic>
                    </a:graphicData>
                  </a:graphic>
                </wp:inline>
              </w:drawing>
            </w:r>
          </w:p>
          <w:p>
            <w:pPr>
              <w:widowControl/>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防止高处坠落物体打击示意</w:t>
            </w:r>
          </w:p>
        </w:tc>
      </w:tr>
    </w:tbl>
    <w:p>
      <w:pPr>
        <w:rPr>
          <w:rFonts w:ascii="宋体" w:hAnsi="宋体" w:eastAsia="宋体"/>
          <w:color w:val="auto"/>
          <w:sz w:val="28"/>
          <w:szCs w:val="32"/>
        </w:rPr>
      </w:pPr>
    </w:p>
    <w:p>
      <w:pPr>
        <w:rPr>
          <w:rFonts w:hint="eastAsia" w:ascii="宋体" w:hAnsi="宋体" w:eastAsia="宋体"/>
          <w:color w:val="auto"/>
          <w:sz w:val="28"/>
          <w:szCs w:val="32"/>
        </w:rPr>
      </w:pPr>
      <w:r>
        <w:rPr>
          <w:rFonts w:hint="eastAsia" w:ascii="宋体" w:hAnsi="宋体" w:eastAsia="宋体"/>
          <w:color w:val="auto"/>
          <w:sz w:val="28"/>
          <w:szCs w:val="32"/>
        </w:rPr>
        <w:br w:type="page"/>
      </w:r>
    </w:p>
    <w:p>
      <w:pP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2.冶金行业典型物体打击事故管控措施</w:t>
      </w:r>
    </w:p>
    <w:tbl>
      <w:tblPr>
        <w:tblStyle w:val="4"/>
        <w:tblW w:w="14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1022"/>
        <w:gridCol w:w="1725"/>
        <w:gridCol w:w="2014"/>
        <w:gridCol w:w="2592"/>
        <w:gridCol w:w="3310"/>
        <w:gridCol w:w="3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7" w:type="dxa"/>
            <w:shd w:val="clear" w:color="auto" w:fill="auto"/>
            <w:vAlign w:val="center"/>
          </w:tcPr>
          <w:p>
            <w:pPr>
              <w:widowControl/>
              <w:jc w:val="center"/>
              <w:rPr>
                <w:rFonts w:hint="eastAsia" w:ascii="黑体" w:hAnsi="黑体" w:eastAsia="黑体" w:cs="黑体"/>
                <w:color w:val="auto"/>
                <w:kern w:val="0"/>
                <w:szCs w:val="21"/>
              </w:rPr>
            </w:pPr>
            <w:r>
              <w:rPr>
                <w:rFonts w:hint="eastAsia" w:ascii="黑体" w:hAnsi="黑体" w:eastAsia="黑体" w:cs="黑体"/>
                <w:color w:val="auto"/>
                <w:kern w:val="0"/>
                <w:szCs w:val="21"/>
              </w:rPr>
              <w:t>序号</w:t>
            </w:r>
          </w:p>
        </w:tc>
        <w:tc>
          <w:tcPr>
            <w:tcW w:w="1022" w:type="dxa"/>
            <w:shd w:val="clear" w:color="auto" w:fill="auto"/>
            <w:vAlign w:val="center"/>
          </w:tcPr>
          <w:p>
            <w:pPr>
              <w:widowControl/>
              <w:jc w:val="center"/>
              <w:rPr>
                <w:rFonts w:hint="eastAsia" w:ascii="黑体" w:hAnsi="黑体" w:eastAsia="黑体" w:cs="黑体"/>
                <w:color w:val="auto"/>
                <w:kern w:val="0"/>
                <w:szCs w:val="21"/>
              </w:rPr>
            </w:pPr>
            <w:r>
              <w:rPr>
                <w:rFonts w:hint="eastAsia" w:ascii="黑体" w:hAnsi="黑体" w:eastAsia="黑体" w:cs="黑体"/>
                <w:color w:val="auto"/>
                <w:kern w:val="0"/>
                <w:szCs w:val="21"/>
              </w:rPr>
              <w:t>中类行业名称</w:t>
            </w:r>
          </w:p>
        </w:tc>
        <w:tc>
          <w:tcPr>
            <w:tcW w:w="1725" w:type="dxa"/>
            <w:shd w:val="clear" w:color="auto" w:fill="auto"/>
            <w:vAlign w:val="center"/>
          </w:tcPr>
          <w:p>
            <w:pPr>
              <w:widowControl/>
              <w:jc w:val="center"/>
              <w:rPr>
                <w:rFonts w:hint="eastAsia" w:ascii="黑体" w:hAnsi="黑体" w:eastAsia="黑体" w:cs="黑体"/>
                <w:color w:val="auto"/>
                <w:kern w:val="0"/>
                <w:szCs w:val="21"/>
              </w:rPr>
            </w:pPr>
            <w:r>
              <w:rPr>
                <w:rFonts w:hint="eastAsia" w:ascii="黑体" w:hAnsi="黑体" w:eastAsia="黑体" w:cs="黑体"/>
                <w:color w:val="auto"/>
                <w:kern w:val="0"/>
                <w:szCs w:val="21"/>
              </w:rPr>
              <w:t>典型设备设施或作业活动举例</w:t>
            </w:r>
          </w:p>
        </w:tc>
        <w:tc>
          <w:tcPr>
            <w:tcW w:w="2014" w:type="dxa"/>
            <w:shd w:val="clear" w:color="auto" w:fill="auto"/>
            <w:vAlign w:val="center"/>
          </w:tcPr>
          <w:p>
            <w:pPr>
              <w:widowControl/>
              <w:jc w:val="center"/>
              <w:rPr>
                <w:rFonts w:hint="eastAsia" w:ascii="黑体" w:hAnsi="黑体" w:eastAsia="黑体" w:cs="黑体"/>
                <w:color w:val="auto"/>
                <w:kern w:val="0"/>
                <w:szCs w:val="21"/>
              </w:rPr>
            </w:pPr>
            <w:r>
              <w:rPr>
                <w:rFonts w:hint="eastAsia" w:ascii="黑体" w:hAnsi="黑体" w:eastAsia="黑体" w:cs="黑体"/>
                <w:color w:val="auto"/>
                <w:kern w:val="0"/>
                <w:szCs w:val="21"/>
              </w:rPr>
              <w:t>事故原因</w:t>
            </w:r>
          </w:p>
        </w:tc>
        <w:tc>
          <w:tcPr>
            <w:tcW w:w="2592" w:type="dxa"/>
            <w:shd w:val="clear" w:color="auto" w:fill="auto"/>
            <w:vAlign w:val="center"/>
          </w:tcPr>
          <w:p>
            <w:pPr>
              <w:widowControl/>
              <w:jc w:val="center"/>
              <w:rPr>
                <w:rFonts w:hint="eastAsia" w:ascii="黑体" w:hAnsi="黑体" w:eastAsia="黑体" w:cs="黑体"/>
                <w:color w:val="auto"/>
                <w:kern w:val="0"/>
                <w:szCs w:val="21"/>
              </w:rPr>
            </w:pPr>
            <w:r>
              <w:rPr>
                <w:rFonts w:hint="eastAsia" w:ascii="黑体" w:hAnsi="黑体" w:eastAsia="黑体" w:cs="黑体"/>
                <w:color w:val="auto"/>
                <w:kern w:val="0"/>
                <w:szCs w:val="21"/>
              </w:rPr>
              <w:t>典型工程技术措施</w:t>
            </w:r>
          </w:p>
        </w:tc>
        <w:tc>
          <w:tcPr>
            <w:tcW w:w="3310" w:type="dxa"/>
            <w:shd w:val="clear" w:color="auto" w:fill="auto"/>
            <w:vAlign w:val="center"/>
          </w:tcPr>
          <w:p>
            <w:pPr>
              <w:widowControl/>
              <w:jc w:val="center"/>
              <w:rPr>
                <w:rFonts w:hint="eastAsia" w:ascii="黑体" w:hAnsi="黑体" w:eastAsia="黑体" w:cs="黑体"/>
                <w:color w:val="auto"/>
                <w:kern w:val="0"/>
                <w:szCs w:val="21"/>
              </w:rPr>
            </w:pPr>
            <w:r>
              <w:rPr>
                <w:rFonts w:hint="eastAsia" w:ascii="黑体" w:hAnsi="黑体" w:eastAsia="黑体" w:cs="黑体"/>
                <w:color w:val="auto"/>
                <w:kern w:val="0"/>
                <w:szCs w:val="21"/>
              </w:rPr>
              <w:t>典型的管理措施</w:t>
            </w:r>
          </w:p>
        </w:tc>
        <w:tc>
          <w:tcPr>
            <w:tcW w:w="3674" w:type="dxa"/>
            <w:shd w:val="clear" w:color="auto" w:fill="auto"/>
            <w:vAlign w:val="center"/>
          </w:tcPr>
          <w:p>
            <w:pPr>
              <w:widowControl/>
              <w:jc w:val="center"/>
              <w:rPr>
                <w:rFonts w:hint="eastAsia" w:ascii="黑体" w:hAnsi="黑体" w:eastAsia="黑体" w:cs="黑体"/>
                <w:color w:val="auto"/>
                <w:kern w:val="0"/>
                <w:szCs w:val="21"/>
              </w:rPr>
            </w:pPr>
            <w:r>
              <w:rPr>
                <w:rFonts w:hint="eastAsia" w:ascii="黑体" w:hAnsi="黑体" w:eastAsia="黑体" w:cs="黑体"/>
                <w:color w:val="auto"/>
                <w:kern w:val="0"/>
                <w:szCs w:val="21"/>
              </w:rPr>
              <w:t>好的做法示例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7"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w:t>
            </w:r>
          </w:p>
        </w:tc>
        <w:tc>
          <w:tcPr>
            <w:tcW w:w="1022"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黑色金属冶炼</w:t>
            </w:r>
          </w:p>
        </w:tc>
        <w:tc>
          <w:tcPr>
            <w:tcW w:w="1725"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钢材轧制</w:t>
            </w:r>
          </w:p>
        </w:tc>
        <w:tc>
          <w:tcPr>
            <w:tcW w:w="2014"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1.经过辊道、冷床、移送机和运输机等设备的人行通道无防护护栏。</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2.轧线飞钢容易导致操作人员挤、碰伤。</w:t>
            </w:r>
          </w:p>
        </w:tc>
        <w:tc>
          <w:tcPr>
            <w:tcW w:w="2592"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1.设置过桥，桥宽不小于0.8m，两侧设不低于1.05m的防护栏杆。</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2.跨越输送灼热金属的天桥，两侧设不低于1.5m的防护挡板。</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3.有可能发生飞溅金属屑、渣或氧化铁皮处的人行天桥，两侧应设置不低于2.0m的防护挡板。</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4.有高速轧件上窜危险处的人行天桥，应设置金属网罩，其网眼应小于最小轧件的尺寸。</w:t>
            </w:r>
          </w:p>
        </w:tc>
        <w:tc>
          <w:tcPr>
            <w:tcW w:w="3310"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天桥两侧加装“禁止停留”、“红钢通过时禁止通行”等安全警示标示。</w:t>
            </w:r>
          </w:p>
        </w:tc>
        <w:tc>
          <w:tcPr>
            <w:tcW w:w="3674" w:type="dxa"/>
            <w:shd w:val="clear" w:color="auto" w:fill="auto"/>
            <w:vAlign w:val="center"/>
          </w:tcPr>
          <w:p>
            <w:pPr>
              <w:widowControl/>
              <w:jc w:val="center"/>
              <w:rPr>
                <w:rFonts w:hint="eastAsia" w:ascii="仿宋" w:hAnsi="仿宋" w:eastAsia="仿宋" w:cs="仿宋"/>
                <w:color w:val="auto"/>
              </w:rPr>
            </w:pPr>
            <w:r>
              <w:rPr>
                <w:rFonts w:hint="eastAsia" w:ascii="仿宋" w:hAnsi="仿宋" w:eastAsia="仿宋" w:cs="仿宋"/>
                <w:color w:val="auto"/>
              </w:rPr>
              <w:object>
                <v:shape id="_x0000_i1025" o:spt="75" alt="" type="#_x0000_t75" style="height:136.9pt;width:138.15pt;" o:ole="t" filled="f" o:preferrelative="t" stroked="f" coordsize="21600,21600">
                  <v:path/>
                  <v:fill on="f" focussize="0,0"/>
                  <v:stroke on="f"/>
                  <v:imagedata r:id="rId11" o:title=""/>
                  <o:lock v:ext="edit" aspectratio="t"/>
                  <w10:wrap type="none"/>
                  <w10:anchorlock/>
                </v:shape>
                <o:OLEObject Type="Embed" ProgID="PBrush" ShapeID="_x0000_i1025" DrawAspect="Content" ObjectID="_1468075725" r:id="rId10">
                  <o:LockedField>false</o:LockedField>
                </o:OLEObject>
              </w:object>
            </w:r>
          </w:p>
          <w:p>
            <w:pPr>
              <w:widowControl/>
              <w:rPr>
                <w:rFonts w:hint="eastAsia" w:ascii="仿宋" w:hAnsi="仿宋" w:eastAsia="仿宋" w:cs="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7"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2</w:t>
            </w:r>
          </w:p>
        </w:tc>
        <w:tc>
          <w:tcPr>
            <w:tcW w:w="1022"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黑色金属冶炼</w:t>
            </w:r>
          </w:p>
        </w:tc>
        <w:tc>
          <w:tcPr>
            <w:tcW w:w="1725"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液压系统</w:t>
            </w:r>
          </w:p>
        </w:tc>
        <w:tc>
          <w:tcPr>
            <w:tcW w:w="2014"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液压管路断裂后高压液压油冲出，容易造成人员打击伤。</w:t>
            </w:r>
          </w:p>
        </w:tc>
        <w:tc>
          <w:tcPr>
            <w:tcW w:w="2592"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1.液压站、阀台、蓄势器和液压管路，应有安全阀。</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2.减压阀、液压控制阀、截止阀和蓄势器与油路之间应有紧急闭锁装置。</w:t>
            </w:r>
          </w:p>
        </w:tc>
        <w:tc>
          <w:tcPr>
            <w:tcW w:w="3310"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加强巡检力度，发现液压管路出现泄漏、裂纹等情况立即切断介质阀门，有效泄压后进行维修。</w:t>
            </w:r>
          </w:p>
        </w:tc>
        <w:tc>
          <w:tcPr>
            <w:tcW w:w="3674" w:type="dxa"/>
            <w:shd w:val="clear" w:color="auto" w:fill="auto"/>
            <w:vAlign w:val="center"/>
          </w:tcPr>
          <w:p>
            <w:pPr>
              <w:widowControl/>
              <w:jc w:val="center"/>
              <w:rPr>
                <w:rFonts w:hint="eastAsia" w:ascii="仿宋" w:hAnsi="仿宋" w:eastAsia="仿宋" w:cs="仿宋"/>
                <w:color w:val="auto"/>
              </w:rPr>
            </w:pPr>
            <w:r>
              <w:rPr>
                <w:rFonts w:hint="eastAsia" w:ascii="仿宋" w:hAnsi="仿宋" w:eastAsia="仿宋" w:cs="仿宋"/>
                <w:color w:val="auto"/>
              </w:rPr>
              <w:object>
                <v:shape id="_x0000_i1026" o:spt="75" alt="" type="#_x0000_t75" style="height:136.9pt;width:136.9pt;" o:ole="t" filled="f" o:preferrelative="t" stroked="f" coordsize="21600,21600">
                  <v:path/>
                  <v:fill on="f" focussize="0,0"/>
                  <v:stroke on="f"/>
                  <v:imagedata r:id="rId13" o:title=""/>
                  <o:lock v:ext="edit" aspectratio="t"/>
                  <w10:wrap type="none"/>
                  <w10:anchorlock/>
                </v:shape>
                <o:OLEObject Type="Embed" ProgID="PBrush" ShapeID="_x0000_i1026" DrawAspect="Content" ObjectID="_1468075726" r:id="rId12">
                  <o:LockedField>false</o:LockedField>
                </o:OLEObject>
              </w:object>
            </w:r>
          </w:p>
          <w:p>
            <w:pPr>
              <w:widowControl/>
              <w:jc w:val="center"/>
              <w:rPr>
                <w:rFonts w:hint="eastAsia" w:ascii="仿宋" w:hAnsi="仿宋" w:eastAsia="仿宋" w:cs="仿宋"/>
                <w:color w:val="auto"/>
                <w:sz w:val="20"/>
                <w:szCs w:val="20"/>
              </w:rPr>
            </w:pPr>
            <w:r>
              <w:rPr>
                <w:rFonts w:hint="eastAsia" w:ascii="仿宋" w:hAnsi="仿宋" w:eastAsia="仿宋" w:cs="仿宋"/>
                <w:color w:val="auto"/>
              </w:rPr>
              <w:object>
                <v:shape id="_x0000_i1027" o:spt="75" alt="" type="#_x0000_t75" style="height:135.25pt;width:138.6pt;" o:ole="t" filled="f" o:preferrelative="t" stroked="f" coordsize="21600,21600">
                  <v:path/>
                  <v:fill on="f" focussize="0,0"/>
                  <v:stroke on="f"/>
                  <v:imagedata r:id="rId15" o:title=""/>
                  <o:lock v:ext="edit" aspectratio="t"/>
                  <w10:wrap type="none"/>
                  <w10:anchorlock/>
                </v:shape>
                <o:OLEObject Type="Embed" ProgID="PBrush" ShapeID="_x0000_i1027" DrawAspect="Content" ObjectID="_1468075727" r:id="rId1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7"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3</w:t>
            </w:r>
          </w:p>
        </w:tc>
        <w:tc>
          <w:tcPr>
            <w:tcW w:w="1022"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黑色金属冶炼</w:t>
            </w:r>
          </w:p>
        </w:tc>
        <w:tc>
          <w:tcPr>
            <w:tcW w:w="1725"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钢坯堆放</w:t>
            </w:r>
          </w:p>
        </w:tc>
        <w:tc>
          <w:tcPr>
            <w:tcW w:w="2014"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钢材无序堆放，放置不稳容易导致钢材坍塌，造成人员挤伤、砸伤。</w:t>
            </w:r>
          </w:p>
        </w:tc>
        <w:tc>
          <w:tcPr>
            <w:tcW w:w="2592"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1.钢坯堆放的地面应平整，堆垛要放置平稳整齐。</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2.垛间保持一定安全距离。</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3.有钢架堆放的垛高不超过钢架高度，无钢架堆放的钢坯层间要交叉放置，垛高要求不超过4.5m，且不影响起重机作业和司机视线。</w:t>
            </w:r>
          </w:p>
        </w:tc>
        <w:tc>
          <w:tcPr>
            <w:tcW w:w="3310"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1.钢材吊运过程中，钢垛周围严禁站人。</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2.钢垛设警示标示。</w:t>
            </w:r>
          </w:p>
        </w:tc>
        <w:tc>
          <w:tcPr>
            <w:tcW w:w="3674" w:type="dxa"/>
            <w:shd w:val="clear" w:color="auto" w:fill="auto"/>
            <w:vAlign w:val="center"/>
          </w:tcPr>
          <w:p>
            <w:pPr>
              <w:widowControl/>
              <w:jc w:val="center"/>
              <w:rPr>
                <w:rFonts w:hint="eastAsia" w:ascii="仿宋" w:hAnsi="仿宋" w:eastAsia="仿宋" w:cs="仿宋"/>
                <w:color w:val="auto"/>
              </w:rPr>
            </w:pPr>
            <w:r>
              <w:rPr>
                <w:rFonts w:hint="eastAsia" w:ascii="仿宋" w:hAnsi="仿宋" w:eastAsia="仿宋" w:cs="仿宋"/>
                <w:color w:val="auto"/>
              </w:rPr>
              <w:object>
                <v:shape id="_x0000_i1028" o:spt="75" alt="" type="#_x0000_t75" style="height:135.25pt;width:135.25pt;" o:ole="t" filled="f" o:preferrelative="t" stroked="f" coordsize="21600,21600">
                  <v:path/>
                  <v:fill on="f" focussize="0,0"/>
                  <v:stroke on="f"/>
                  <v:imagedata r:id="rId17" o:title=""/>
                  <o:lock v:ext="edit" aspectratio="t"/>
                  <w10:wrap type="none"/>
                  <w10:anchorlock/>
                </v:shape>
                <o:OLEObject Type="Embed" ProgID="PBrush" ShapeID="_x0000_i1028" DrawAspect="Content" ObjectID="_1468075728" r:id="rId16">
                  <o:LockedField>false</o:LockedField>
                </o:OLEObject>
              </w:object>
            </w:r>
          </w:p>
          <w:p>
            <w:pPr>
              <w:widowControl/>
              <w:jc w:val="center"/>
              <w:rPr>
                <w:rFonts w:hint="eastAsia" w:ascii="仿宋" w:hAnsi="仿宋" w:eastAsia="仿宋" w:cs="仿宋"/>
                <w:color w:val="auto"/>
                <w:sz w:val="20"/>
                <w:szCs w:val="20"/>
              </w:rPr>
            </w:pPr>
            <w:r>
              <w:rPr>
                <w:rFonts w:hint="eastAsia" w:ascii="仿宋" w:hAnsi="仿宋" w:eastAsia="仿宋" w:cs="仿宋"/>
                <w:color w:val="auto"/>
              </w:rPr>
              <w:object>
                <v:shape id="_x0000_i1029" o:spt="75" alt="" type="#_x0000_t75" style="height:139.4pt;width:137.75pt;" o:ole="t" filled="f" o:preferrelative="t" stroked="f" coordsize="21600,21600">
                  <v:path/>
                  <v:fill on="f" focussize="0,0"/>
                  <v:stroke on="f"/>
                  <v:imagedata r:id="rId19" o:title=""/>
                  <o:lock v:ext="edit" aspectratio="t"/>
                  <w10:wrap type="none"/>
                  <w10:anchorlock/>
                </v:shape>
                <o:OLEObject Type="Embed" ProgID="PBrush" ShapeID="_x0000_i1029" DrawAspect="Content" ObjectID="_1468075729" r:id="rId1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7"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4</w:t>
            </w:r>
          </w:p>
        </w:tc>
        <w:tc>
          <w:tcPr>
            <w:tcW w:w="1022"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黑色金属冶炼</w:t>
            </w:r>
          </w:p>
        </w:tc>
        <w:tc>
          <w:tcPr>
            <w:tcW w:w="1725"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废钢装卸</w:t>
            </w:r>
          </w:p>
        </w:tc>
        <w:tc>
          <w:tcPr>
            <w:tcW w:w="2014"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使用电磁吊装卸废钢时废钢掉落导致人员砸伤。</w:t>
            </w:r>
          </w:p>
        </w:tc>
        <w:tc>
          <w:tcPr>
            <w:tcW w:w="2592"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1.定期检查电磁吊完好无损。</w:t>
            </w:r>
          </w:p>
        </w:tc>
        <w:tc>
          <w:tcPr>
            <w:tcW w:w="3310"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1.废钢吊运过程中，人员严禁站在废钢可能掉落的影响半径内。</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2.现场设置安全警示标示。</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3.人员佩戴安全帽。</w:t>
            </w:r>
          </w:p>
        </w:tc>
        <w:tc>
          <w:tcPr>
            <w:tcW w:w="3674" w:type="dxa"/>
            <w:shd w:val="clear" w:color="auto" w:fill="auto"/>
            <w:vAlign w:val="center"/>
          </w:tcPr>
          <w:p>
            <w:pPr>
              <w:widowControl/>
              <w:jc w:val="center"/>
              <w:rPr>
                <w:rFonts w:hint="eastAsia" w:ascii="仿宋" w:hAnsi="仿宋" w:eastAsia="仿宋" w:cs="仿宋"/>
                <w:color w:val="auto"/>
                <w:sz w:val="20"/>
                <w:szCs w:val="20"/>
              </w:rPr>
            </w:pPr>
            <w:r>
              <w:rPr>
                <w:rFonts w:hint="eastAsia" w:ascii="仿宋" w:hAnsi="仿宋" w:eastAsia="仿宋" w:cs="仿宋"/>
                <w:color w:val="auto"/>
              </w:rPr>
              <w:object>
                <v:shape id="_x0000_i1030" o:spt="75" alt="" type="#_x0000_t75" style="height:127.75pt;width:140.25pt;" o:ole="t" filled="f" o:preferrelative="t" stroked="f" coordsize="21600,21600">
                  <v:path/>
                  <v:fill on="f" focussize="0,0"/>
                  <v:stroke on="f"/>
                  <v:imagedata r:id="rId21" o:title=""/>
                  <o:lock v:ext="edit" aspectratio="t"/>
                  <w10:wrap type="none"/>
                  <w10:anchorlock/>
                </v:shape>
                <o:OLEObject Type="Embed" ProgID="PBrush" ShapeID="_x0000_i1030" DrawAspect="Content" ObjectID="_1468075730" r:id="rId2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7"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5</w:t>
            </w:r>
          </w:p>
        </w:tc>
        <w:tc>
          <w:tcPr>
            <w:tcW w:w="1022"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黑色金属冶炼</w:t>
            </w:r>
          </w:p>
        </w:tc>
        <w:tc>
          <w:tcPr>
            <w:tcW w:w="1725"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钢管</w:t>
            </w:r>
          </w:p>
        </w:tc>
        <w:tc>
          <w:tcPr>
            <w:tcW w:w="2014"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操作台人员对生产线存在视野盲区，产线发生故障人员进行处理时，易因操作台误操作造成人员伤害。</w:t>
            </w:r>
          </w:p>
        </w:tc>
        <w:tc>
          <w:tcPr>
            <w:tcW w:w="2592"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在操作台视线盲区设置安全紧急开关，控制辊道电机运转,切断安全开关后,辊道电机立即停止运行。</w:t>
            </w:r>
          </w:p>
        </w:tc>
        <w:tc>
          <w:tcPr>
            <w:tcW w:w="3310"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1.生产线运行时严禁处理故障。</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2.处理故障打开安全紧急开关方可作业。</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3.故障处理实行挂牌制度。</w:t>
            </w:r>
          </w:p>
        </w:tc>
        <w:tc>
          <w:tcPr>
            <w:tcW w:w="3674" w:type="dxa"/>
            <w:shd w:val="clear" w:color="auto" w:fill="auto"/>
            <w:vAlign w:val="center"/>
          </w:tcPr>
          <w:p>
            <w:pPr>
              <w:widowControl/>
              <w:jc w:val="center"/>
              <w:rPr>
                <w:rFonts w:hint="eastAsia" w:ascii="仿宋" w:hAnsi="仿宋" w:eastAsia="仿宋" w:cs="仿宋"/>
                <w:color w:val="auto"/>
                <w:sz w:val="20"/>
                <w:szCs w:val="20"/>
              </w:rPr>
            </w:pPr>
            <w:r>
              <w:rPr>
                <w:rFonts w:hint="eastAsia" w:ascii="仿宋" w:hAnsi="仿宋" w:eastAsia="仿宋" w:cs="仿宋"/>
                <w:color w:val="auto"/>
              </w:rPr>
              <w:object>
                <v:shape id="_x0000_i1031" o:spt="75" alt="" type="#_x0000_t75" style="height:137.75pt;width:135.25pt;" o:ole="t" filled="f" o:preferrelative="t" stroked="f" coordsize="21600,21600">
                  <v:path/>
                  <v:fill on="f" focussize="0,0"/>
                  <v:stroke on="f"/>
                  <v:imagedata r:id="rId23" o:title=""/>
                  <o:lock v:ext="edit" aspectratio="t"/>
                  <w10:wrap type="none"/>
                  <w10:anchorlock/>
                </v:shape>
                <o:OLEObject Type="Embed" ProgID="PBrush" ShapeID="_x0000_i1031" DrawAspect="Content" ObjectID="_1468075731" r:id="rId2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7"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6</w:t>
            </w:r>
          </w:p>
        </w:tc>
        <w:tc>
          <w:tcPr>
            <w:tcW w:w="1022"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黑色金属冶炼</w:t>
            </w:r>
          </w:p>
        </w:tc>
        <w:tc>
          <w:tcPr>
            <w:tcW w:w="1725"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湿法脱硫装置</w:t>
            </w:r>
          </w:p>
        </w:tc>
        <w:tc>
          <w:tcPr>
            <w:tcW w:w="2014"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设备灰斗底部堵塞时，人员进入灰斗清堵时容易发生脱硫灰掉落伤人。</w:t>
            </w:r>
          </w:p>
        </w:tc>
        <w:tc>
          <w:tcPr>
            <w:tcW w:w="2592"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1.设备停机后方可进行清堵作业。</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2.采用高压水冲洗等方式进行清堵，严禁人员进入灰斗。</w:t>
            </w:r>
          </w:p>
        </w:tc>
        <w:tc>
          <w:tcPr>
            <w:tcW w:w="3310"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一般管理措施。</w:t>
            </w:r>
          </w:p>
        </w:tc>
        <w:tc>
          <w:tcPr>
            <w:tcW w:w="3674" w:type="dxa"/>
            <w:shd w:val="clear" w:color="auto" w:fill="auto"/>
            <w:vAlign w:val="center"/>
          </w:tcPr>
          <w:p>
            <w:pPr>
              <w:widowControl/>
              <w:jc w:val="center"/>
              <w:rPr>
                <w:rFonts w:hint="eastAsia" w:ascii="仿宋" w:hAnsi="仿宋" w:eastAsia="仿宋" w:cs="仿宋"/>
                <w:color w:val="auto"/>
                <w:sz w:val="20"/>
                <w:szCs w:val="20"/>
              </w:rPr>
            </w:pPr>
            <w:r>
              <w:rPr>
                <w:rFonts w:hint="eastAsia" w:ascii="仿宋" w:hAnsi="仿宋" w:eastAsia="仿宋" w:cs="仿宋"/>
                <w:color w:val="auto"/>
              </w:rPr>
              <w:object>
                <v:shape id="_x0000_i1032" o:spt="75" alt="" type="#_x0000_t75" style="height:143.6pt;width:141.1pt;" o:ole="t" filled="f" o:preferrelative="t" stroked="f" coordsize="21600,21600">
                  <v:path/>
                  <v:fill on="f" focussize="0,0"/>
                  <v:stroke on="f"/>
                  <v:imagedata r:id="rId25" o:title=""/>
                  <o:lock v:ext="edit" aspectratio="t"/>
                  <w10:wrap type="none"/>
                  <w10:anchorlock/>
                </v:shape>
                <o:OLEObject Type="Embed" ProgID="PBrush" ShapeID="_x0000_i1032" DrawAspect="Content" ObjectID="_1468075732" r:id="rId2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7"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7</w:t>
            </w:r>
          </w:p>
        </w:tc>
        <w:tc>
          <w:tcPr>
            <w:tcW w:w="1022"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黑色金属冶炼</w:t>
            </w:r>
          </w:p>
        </w:tc>
        <w:tc>
          <w:tcPr>
            <w:tcW w:w="1725"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液压拉马</w:t>
            </w:r>
          </w:p>
        </w:tc>
        <w:tc>
          <w:tcPr>
            <w:tcW w:w="2014"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液压拉马使用过程中，钩爪、加长顶杆滑脱时容易造成人员打击伤。</w:t>
            </w:r>
          </w:p>
        </w:tc>
        <w:tc>
          <w:tcPr>
            <w:tcW w:w="2592"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1.把各钩爪座调整到爪钩垂直抓住所拉物体，将钩爪钩于所拉物体牢固位置，防止钩爪滑脱。</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2.使用加长顶杆时不得超过2节。</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3.顶杆位于各钩爪中心与主轴水平，顶杆与主轴接触面平整稳定。</w:t>
            </w:r>
          </w:p>
        </w:tc>
        <w:tc>
          <w:tcPr>
            <w:tcW w:w="3310" w:type="dxa"/>
            <w:shd w:val="clear" w:color="auto" w:fill="auto"/>
            <w:vAlign w:val="center"/>
          </w:tcPr>
          <w:p>
            <w:pPr>
              <w:widowControl/>
              <w:jc w:val="left"/>
              <w:rPr>
                <w:rFonts w:hint="eastAsia" w:ascii="仿宋" w:hAnsi="仿宋" w:eastAsia="仿宋" w:cs="仿宋"/>
                <w:color w:val="auto"/>
                <w:szCs w:val="21"/>
              </w:rPr>
            </w:pPr>
            <w:r>
              <w:rPr>
                <w:rFonts w:hint="eastAsia" w:ascii="仿宋" w:hAnsi="仿宋" w:eastAsia="仿宋" w:cs="仿宋"/>
                <w:color w:val="auto"/>
                <w:szCs w:val="21"/>
              </w:rPr>
              <w:t>1.使用辅助顶杆，辅助顶杆上加装手柄。</w:t>
            </w:r>
          </w:p>
          <w:p>
            <w:pPr>
              <w:widowControl/>
              <w:jc w:val="left"/>
              <w:rPr>
                <w:rFonts w:hint="eastAsia" w:ascii="仿宋" w:hAnsi="仿宋" w:eastAsia="仿宋" w:cs="仿宋"/>
                <w:color w:val="auto"/>
                <w:szCs w:val="21"/>
              </w:rPr>
            </w:pPr>
            <w:r>
              <w:rPr>
                <w:rFonts w:hint="eastAsia" w:ascii="仿宋" w:hAnsi="仿宋" w:eastAsia="仿宋" w:cs="仿宋"/>
                <w:color w:val="auto"/>
                <w:szCs w:val="21"/>
              </w:rPr>
              <w:t>2.钩爪与备件接触面不得有油污。</w:t>
            </w:r>
          </w:p>
        </w:tc>
        <w:tc>
          <w:tcPr>
            <w:tcW w:w="3674" w:type="dxa"/>
            <w:shd w:val="clear" w:color="auto" w:fill="auto"/>
            <w:vAlign w:val="center"/>
          </w:tcPr>
          <w:p>
            <w:pPr>
              <w:widowControl/>
              <w:jc w:val="center"/>
              <w:rPr>
                <w:rFonts w:hint="eastAsia" w:ascii="仿宋" w:hAnsi="仿宋" w:eastAsia="仿宋" w:cs="仿宋"/>
                <w:color w:val="auto"/>
                <w:sz w:val="20"/>
                <w:szCs w:val="20"/>
              </w:rPr>
            </w:pPr>
            <w:r>
              <w:rPr>
                <w:rFonts w:hint="eastAsia" w:ascii="仿宋" w:hAnsi="仿宋" w:eastAsia="仿宋" w:cs="仿宋"/>
                <w:color w:val="auto"/>
              </w:rPr>
              <w:object>
                <v:shape id="_x0000_i1033" o:spt="75" alt="" type="#_x0000_t75" style="height:144pt;width:142.35pt;" o:ole="t" filled="f" o:preferrelative="t" stroked="f" coordsize="21600,21600">
                  <v:path/>
                  <v:fill on="f" focussize="0,0"/>
                  <v:stroke on="f"/>
                  <v:imagedata r:id="rId27" o:title=""/>
                  <o:lock v:ext="edit" aspectratio="t"/>
                  <w10:wrap type="none"/>
                  <w10:anchorlock/>
                </v:shape>
                <o:OLEObject Type="Embed" ProgID="PBrush" ShapeID="_x0000_i1033" DrawAspect="Content" ObjectID="_1468075733" r:id="rId26">
                  <o:LockedField>false</o:LockedField>
                </o:OLEObject>
              </w:object>
            </w:r>
          </w:p>
        </w:tc>
      </w:tr>
    </w:tbl>
    <w:p>
      <w:pPr>
        <w:rPr>
          <w:rFonts w:ascii="宋体" w:hAnsi="宋体" w:eastAsia="宋体"/>
          <w:color w:val="auto"/>
          <w:sz w:val="28"/>
          <w:szCs w:val="32"/>
        </w:rPr>
      </w:pPr>
    </w:p>
    <w:p>
      <w:pPr>
        <w:rPr>
          <w:rFonts w:ascii="宋体" w:hAnsi="宋体" w:eastAsia="宋体"/>
          <w:color w:val="auto"/>
          <w:sz w:val="28"/>
          <w:szCs w:val="32"/>
        </w:rPr>
      </w:pPr>
    </w:p>
    <w:p>
      <w:pPr>
        <w:rPr>
          <w:rFonts w:hint="eastAsia" w:ascii="宋体" w:hAnsi="宋体" w:eastAsia="宋体"/>
          <w:color w:val="auto"/>
          <w:sz w:val="28"/>
          <w:szCs w:val="32"/>
        </w:rPr>
      </w:pPr>
    </w:p>
    <w:p>
      <w:pPr>
        <w:rPr>
          <w:rFonts w:ascii="宋体" w:hAnsi="宋体" w:eastAsia="宋体"/>
          <w:color w:val="auto"/>
          <w:sz w:val="28"/>
          <w:szCs w:val="32"/>
        </w:rPr>
      </w:pPr>
      <w:r>
        <w:rPr>
          <w:rFonts w:ascii="宋体" w:hAnsi="宋体" w:eastAsia="宋体"/>
          <w:color w:val="auto"/>
          <w:sz w:val="28"/>
          <w:szCs w:val="32"/>
        </w:rPr>
        <w:br w:type="page"/>
      </w:r>
    </w:p>
    <w:p>
      <w:pP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3.有色行业典型物体打击事故管控措施</w:t>
      </w:r>
    </w:p>
    <w:tbl>
      <w:tblPr>
        <w:tblStyle w:val="4"/>
        <w:tblW w:w="14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022"/>
        <w:gridCol w:w="1871"/>
        <w:gridCol w:w="1871"/>
        <w:gridCol w:w="2592"/>
        <w:gridCol w:w="3309"/>
        <w:gridCol w:w="3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6"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序号</w:t>
            </w:r>
          </w:p>
        </w:tc>
        <w:tc>
          <w:tcPr>
            <w:tcW w:w="1022"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中类行业名称</w:t>
            </w:r>
          </w:p>
        </w:tc>
        <w:tc>
          <w:tcPr>
            <w:tcW w:w="1871"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典型设备设施或作业活动举例</w:t>
            </w:r>
          </w:p>
        </w:tc>
        <w:tc>
          <w:tcPr>
            <w:tcW w:w="1871"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事故原因</w:t>
            </w:r>
          </w:p>
        </w:tc>
        <w:tc>
          <w:tcPr>
            <w:tcW w:w="2592"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典型工程技术措施</w:t>
            </w:r>
          </w:p>
        </w:tc>
        <w:tc>
          <w:tcPr>
            <w:tcW w:w="3309"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典型的管理措施</w:t>
            </w:r>
          </w:p>
        </w:tc>
        <w:tc>
          <w:tcPr>
            <w:tcW w:w="3673"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好的做法示例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6"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w:t>
            </w:r>
          </w:p>
        </w:tc>
        <w:tc>
          <w:tcPr>
            <w:tcW w:w="102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kern w:val="0"/>
                <w:sz w:val="21"/>
                <w:szCs w:val="21"/>
              </w:rPr>
              <w:t>铜冶炼</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起重机械</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1.行车行走限位未安装或失效，造成大车、小车脱轨或钢丝绳拉断等。</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2.未严格执行“十不吊”安全管理要求。</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1.在行车道轨两端设置限位装置（限位开关及机械支挡器），同一道轨上运行两台或两台以上行车时，还应设置防撞装置（防撞尺及限位开关）。</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2.在行车小车导轨两端设置限位装置（限位开关和机械支挡器）。</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3.卷扬机设置上行限位装置，设置限重联锁。</w:t>
            </w:r>
          </w:p>
        </w:tc>
        <w:tc>
          <w:tcPr>
            <w:tcW w:w="3309"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严格执行“十不吊”安全管理要求。</w:t>
            </w:r>
          </w:p>
        </w:tc>
        <w:tc>
          <w:tcPr>
            <w:tcW w:w="3673"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drawing>
                <wp:inline distT="0" distB="0" distL="0" distR="0">
                  <wp:extent cx="2105660" cy="1562100"/>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2117442" cy="1570619"/>
                          </a:xfrm>
                          <a:prstGeom prst="rect">
                            <a:avLst/>
                          </a:prstGeom>
                        </pic:spPr>
                      </pic:pic>
                    </a:graphicData>
                  </a:graphic>
                </wp:inline>
              </w:drawing>
            </w:r>
          </w:p>
          <w:p>
            <w:pPr>
              <w:widowControl/>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当行车大车、小车运行到端部时，触发限位开关动作，切断运行电源，防止大车或小车冲出；护栏门打开时限位开关动作，切断运行电源，防止在人员上下或者检维修时发生事故。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6"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w:t>
            </w:r>
          </w:p>
        </w:tc>
        <w:tc>
          <w:tcPr>
            <w:tcW w:w="102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kern w:val="0"/>
                <w:sz w:val="21"/>
                <w:szCs w:val="21"/>
              </w:rPr>
              <w:t>铜冶炼</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圆盘浇铸机、冰铜磨液压系统</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1.液压管路断裂后高压液压油冲出。</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2.检修时未确认泄压情况。</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1.液压站、阀台、蓄势器和液压管路，应有泄压阀。</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2.液压站设置压力表。</w:t>
            </w:r>
          </w:p>
        </w:tc>
        <w:tc>
          <w:tcPr>
            <w:tcW w:w="3309"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1.定期巡检，发现液压管路出现泄漏、裂纹等情况立即停机处理。</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2.确认有效泄压后进行维修。</w:t>
            </w:r>
          </w:p>
        </w:tc>
        <w:tc>
          <w:tcPr>
            <w:tcW w:w="3673"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drawing>
                <wp:inline distT="0" distB="0" distL="0" distR="0">
                  <wp:extent cx="2141220" cy="160020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9"/>
                          <a:stretch>
                            <a:fillRect/>
                          </a:stretch>
                        </pic:blipFill>
                        <pic:spPr>
                          <a:xfrm>
                            <a:off x="0" y="0"/>
                            <a:ext cx="2152972" cy="1608637"/>
                          </a:xfrm>
                          <a:prstGeom prst="rect">
                            <a:avLst/>
                          </a:prstGeom>
                        </pic:spPr>
                      </pic:pic>
                    </a:graphicData>
                  </a:graphic>
                </wp:inline>
              </w:drawing>
            </w:r>
            <w:r>
              <w:rPr>
                <w:rFonts w:hint="eastAsia" w:ascii="仿宋" w:hAnsi="仿宋" w:eastAsia="仿宋" w:cs="仿宋"/>
                <w:color w:val="auto"/>
                <w:sz w:val="21"/>
                <w:szCs w:val="21"/>
              </w:rPr>
              <w:drawing>
                <wp:inline distT="0" distB="0" distL="0" distR="0">
                  <wp:extent cx="2115185" cy="1504950"/>
                  <wp:effectExtent l="0" t="0" r="571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2123422" cy="1510631"/>
                          </a:xfrm>
                          <a:prstGeom prst="rect">
                            <a:avLst/>
                          </a:prstGeom>
                        </pic:spPr>
                      </pic:pic>
                    </a:graphicData>
                  </a:graphic>
                </wp:inline>
              </w:drawing>
            </w:r>
          </w:p>
          <w:p>
            <w:pPr>
              <w:widowControl/>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当液压油站超压时，泄压阀动作释放压力，防止因超压导致事故发生。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6"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w:t>
            </w:r>
          </w:p>
        </w:tc>
        <w:tc>
          <w:tcPr>
            <w:tcW w:w="102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kern w:val="0"/>
                <w:sz w:val="21"/>
                <w:szCs w:val="21"/>
              </w:rPr>
              <w:t>铜冶炼</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锅炉落料清理</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1.劳保护品穿戴不规范、不齐全。</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2.清理时锅炉内部粘接脱落、落料位移对正在清理的人员造成伤害。</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3.进入锅炉内部进行清理作业。</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采用遥控打渣机进行清理</w:t>
            </w:r>
          </w:p>
        </w:tc>
        <w:tc>
          <w:tcPr>
            <w:tcW w:w="3309"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1.清理时，刮板机必须先停机、挂牌、打切。</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2.禁止进入锅炉内部进行清理作业。</w:t>
            </w:r>
          </w:p>
        </w:tc>
        <w:tc>
          <w:tcPr>
            <w:tcW w:w="3673"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drawing>
                <wp:inline distT="0" distB="0" distL="0" distR="0">
                  <wp:extent cx="2131060" cy="15875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1"/>
                          <a:stretch>
                            <a:fillRect/>
                          </a:stretch>
                        </pic:blipFill>
                        <pic:spPr>
                          <a:xfrm>
                            <a:off x="0" y="0"/>
                            <a:ext cx="2145373" cy="1598569"/>
                          </a:xfrm>
                          <a:prstGeom prst="rect">
                            <a:avLst/>
                          </a:prstGeom>
                        </pic:spPr>
                      </pic:pic>
                    </a:graphicData>
                  </a:graphic>
                </wp:inline>
              </w:drawing>
            </w:r>
          </w:p>
          <w:p>
            <w:pPr>
              <w:widowControl/>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遥控打渣机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6"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4</w:t>
            </w:r>
          </w:p>
        </w:tc>
        <w:tc>
          <w:tcPr>
            <w:tcW w:w="102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kern w:val="0"/>
                <w:sz w:val="21"/>
                <w:szCs w:val="21"/>
              </w:rPr>
              <w:t>铜冶炼</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料仓清理</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1.清理过程中未遵循“自上而下”的原则。</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2.清理过程中，未系好安全带，未站立在安全位置。</w:t>
            </w:r>
          </w:p>
        </w:tc>
        <w:tc>
          <w:tcPr>
            <w:tcW w:w="2592" w:type="dxa"/>
            <w:shd w:val="clear" w:color="auto" w:fill="auto"/>
            <w:vAlign w:val="center"/>
          </w:tcPr>
          <w:p>
            <w:pPr>
              <w:widowControl/>
              <w:jc w:val="left"/>
              <w:rPr>
                <w:rFonts w:hint="eastAsia" w:ascii="仿宋" w:hAnsi="仿宋" w:eastAsia="仿宋" w:cs="仿宋"/>
                <w:color w:val="auto"/>
                <w:sz w:val="21"/>
                <w:szCs w:val="21"/>
              </w:rPr>
            </w:pPr>
          </w:p>
        </w:tc>
        <w:tc>
          <w:tcPr>
            <w:tcW w:w="3309"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1.必须遵循“自上而下”的原则。</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2.在仓内清理时要系好安全带。</w:t>
            </w:r>
          </w:p>
        </w:tc>
        <w:tc>
          <w:tcPr>
            <w:tcW w:w="3673" w:type="dxa"/>
            <w:shd w:val="clear" w:color="auto" w:fill="auto"/>
            <w:vAlign w:val="center"/>
          </w:tcPr>
          <w:p>
            <w:pPr>
              <w:widowControl/>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6"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5</w:t>
            </w:r>
          </w:p>
        </w:tc>
        <w:tc>
          <w:tcPr>
            <w:tcW w:w="102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kern w:val="0"/>
                <w:sz w:val="21"/>
                <w:szCs w:val="21"/>
              </w:rPr>
              <w:t>铜冶炼</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铜、渣溜槽更换</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1.电动葫芦、吊具有缺陷。</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2.转运过程中溜槽及附属物脱落。</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电动葫芦限重联锁齐全有效。</w:t>
            </w:r>
          </w:p>
        </w:tc>
        <w:tc>
          <w:tcPr>
            <w:tcW w:w="3309"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1.作业前对电动葫芦及吊具进行检查确认。</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2.转运过程中确认溜槽及附属物牢固。</w:t>
            </w:r>
          </w:p>
        </w:tc>
        <w:tc>
          <w:tcPr>
            <w:tcW w:w="3673"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drawing>
                <wp:inline distT="0" distB="0" distL="0" distR="0">
                  <wp:extent cx="1537335" cy="1856105"/>
                  <wp:effectExtent l="0" t="0" r="12065"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a:srcRect b="9625"/>
                          <a:stretch>
                            <a:fillRect/>
                          </a:stretch>
                        </pic:blipFill>
                        <pic:spPr>
                          <a:xfrm>
                            <a:off x="0" y="0"/>
                            <a:ext cx="1557196" cy="1880467"/>
                          </a:xfrm>
                          <a:prstGeom prst="rect">
                            <a:avLst/>
                          </a:prstGeom>
                          <a:ln>
                            <a:noFill/>
                          </a:ln>
                        </pic:spPr>
                      </pic:pic>
                    </a:graphicData>
                  </a:graphic>
                </wp:inline>
              </w:drawing>
            </w:r>
          </w:p>
          <w:p>
            <w:pPr>
              <w:widowControl/>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当吊物超重时，限重开关启动，防止因吊物超重导致起重伤害事故。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6"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6</w:t>
            </w:r>
          </w:p>
        </w:tc>
        <w:tc>
          <w:tcPr>
            <w:tcW w:w="102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kern w:val="0"/>
                <w:sz w:val="21"/>
                <w:szCs w:val="21"/>
              </w:rPr>
              <w:t>铜冶炼</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选矿磨机</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1.磨机添加钢球时，钢球散落。</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2.磨机检维修时，未停机挂牌，制动安全设施失效或缺失。</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3.磨机衬板更换时衬板脱落。</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1.添加钢球时检查包装及转运装置。</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2.设置紧急制动。</w:t>
            </w:r>
          </w:p>
        </w:tc>
        <w:tc>
          <w:tcPr>
            <w:tcW w:w="3309"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1.定期检查磨机衬板以及螺栓磨损情况。</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2.设置安全护栏，张贴安全警示标识。</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3.制定检维修方案，并严格落实。</w:t>
            </w:r>
          </w:p>
        </w:tc>
        <w:tc>
          <w:tcPr>
            <w:tcW w:w="3673" w:type="dxa"/>
            <w:shd w:val="clear" w:color="auto" w:fill="auto"/>
            <w:vAlign w:val="center"/>
          </w:tcPr>
          <w:p>
            <w:pPr>
              <w:widowControl/>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drawing>
                <wp:inline distT="0" distB="0" distL="0" distR="0">
                  <wp:extent cx="2000250" cy="1323975"/>
                  <wp:effectExtent l="0" t="0" r="6350" b="9525"/>
                  <wp:docPr id="18" name="图片 18" descr="磨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磨机"/>
                          <pic:cNvPicPr>
                            <a:picLocks noChangeAspect="1" noChangeArrowheads="1"/>
                          </pic:cNvPicPr>
                        </pic:nvPicPr>
                        <pic:blipFill>
                          <a:blip r:embed="rId33"/>
                          <a:srcRect/>
                          <a:stretch>
                            <a:fillRect/>
                          </a:stretch>
                        </pic:blipFill>
                        <pic:spPr>
                          <a:xfrm>
                            <a:off x="0" y="0"/>
                            <a:ext cx="2000250" cy="13239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6"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7</w:t>
            </w:r>
          </w:p>
        </w:tc>
        <w:tc>
          <w:tcPr>
            <w:tcW w:w="102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kern w:val="0"/>
                <w:sz w:val="21"/>
                <w:szCs w:val="21"/>
              </w:rPr>
              <w:t>铜冶炼</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冶金炉冷修</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1.吊挂砖、炉壁耐火砖脱落。</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2.挖补时炉内耐火砖坍塌。</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3.维修工器具、物料高处掉落，脚手架坍塌。</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1.冷修或挖补时采用丝杠等方式支撑。</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2.作业面利用脚手架加隔板等方式进行隔离。</w:t>
            </w:r>
          </w:p>
        </w:tc>
        <w:tc>
          <w:tcPr>
            <w:tcW w:w="3309"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制定检维修方案，并严格落实。</w:t>
            </w:r>
          </w:p>
        </w:tc>
        <w:tc>
          <w:tcPr>
            <w:tcW w:w="3673"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drawing>
                <wp:inline distT="0" distB="0" distL="0" distR="0">
                  <wp:extent cx="2000250" cy="1334770"/>
                  <wp:effectExtent l="0" t="0" r="6350" b="1143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a:stretch>
                            <a:fillRect/>
                          </a:stretch>
                        </pic:blipFill>
                        <pic:spPr>
                          <a:xfrm>
                            <a:off x="0" y="0"/>
                            <a:ext cx="2011002" cy="1341973"/>
                          </a:xfrm>
                          <a:prstGeom prst="rect">
                            <a:avLst/>
                          </a:prstGeom>
                        </pic:spPr>
                      </pic:pic>
                    </a:graphicData>
                  </a:graphic>
                </wp:inline>
              </w:drawing>
            </w:r>
          </w:p>
          <w:p>
            <w:pPr>
              <w:widowControl/>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利用丝杠支撑防止上部已砌筑的耐火砖坍塌伤人。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6"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8</w:t>
            </w:r>
          </w:p>
        </w:tc>
        <w:tc>
          <w:tcPr>
            <w:tcW w:w="102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氧化铝</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沉降槽、矿浆槽、分解槽、保温罐、闪蒸器等槽罐操作、检修、清理作业。</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1.槽罐清理过程中，槽壁结疤脱落。</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2.顶物体临边放置或部件固定不牢，高空坠物。</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3.上下交叉作业，下层人员砸伤。</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4.电机、减速机及搅拌底轴头、底轴座放置或检修过程中倾倒。</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1.槽罐清理前进行碱煮作业，清除槽壁结疤。</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2.槽顶临边设置踢脚板。</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3.高处作业时架设隔离架板，搭设安全网。</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4.制作防倾倒专用器具。</w:t>
            </w:r>
          </w:p>
        </w:tc>
        <w:tc>
          <w:tcPr>
            <w:tcW w:w="3309"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1.清理槽罐时，制定槽罐清理方案，必须采取自上而下的清理方式。</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2.多人拆装作业时人员配合到位，在拆装过程中不得将身体部位置于工件下方。</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3.交叉作业正下方严禁站人，与其他作业交叉进行时，必须按指定路线上下，上下层同时进行工作时中间必须搭设严密的防护隔板或其他隔离设施。</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4.正确佩戴安全帽、防护眼镜、防护面罩、劳保鞋等防物体打击劳保用品。</w:t>
            </w:r>
          </w:p>
        </w:tc>
        <w:tc>
          <w:tcPr>
            <w:tcW w:w="3673"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drawing>
                <wp:inline distT="0" distB="0" distL="0" distR="0">
                  <wp:extent cx="1996440" cy="1037590"/>
                  <wp:effectExtent l="0" t="0" r="10160" b="3810"/>
                  <wp:docPr id="24" name="Picture 35" descr="a8a58c78e0ff9f5f5f567304c751c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descr="a8a58c78e0ff9f5f5f567304c751cfe5"/>
                          <pic:cNvPicPr>
                            <a:picLocks noChangeAspect="1" noChangeArrowheads="1"/>
                          </pic:cNvPicPr>
                        </pic:nvPicPr>
                        <pic:blipFill>
                          <a:blip r:embed="rId35"/>
                          <a:srcRect/>
                          <a:stretch>
                            <a:fillRect/>
                          </a:stretch>
                        </pic:blipFill>
                        <pic:spPr>
                          <a:xfrm>
                            <a:off x="0" y="0"/>
                            <a:ext cx="2000402" cy="1040064"/>
                          </a:xfrm>
                          <a:prstGeom prst="rect">
                            <a:avLst/>
                          </a:prstGeom>
                          <a:noFill/>
                          <a:ln>
                            <a:noFill/>
                          </a:ln>
                        </pic:spPr>
                      </pic:pic>
                    </a:graphicData>
                  </a:graphic>
                </wp:inline>
              </w:drawing>
            </w:r>
          </w:p>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mc:AlternateContent>
                <mc:Choice Requires="wps">
                  <w:drawing>
                    <wp:anchor distT="0" distB="0" distL="114300" distR="114300" simplePos="0" relativeHeight="251659264" behindDoc="0" locked="0" layoutInCell="1" allowOverlap="1">
                      <wp:simplePos x="0" y="0"/>
                      <wp:positionH relativeFrom="column">
                        <wp:posOffset>422275</wp:posOffset>
                      </wp:positionH>
                      <wp:positionV relativeFrom="paragraph">
                        <wp:posOffset>323215</wp:posOffset>
                      </wp:positionV>
                      <wp:extent cx="1657350" cy="723900"/>
                      <wp:effectExtent l="6350" t="6350" r="12700" b="107950"/>
                      <wp:wrapNone/>
                      <wp:docPr id="25" name="椭圆形标注 25"/>
                      <wp:cNvGraphicFramePr/>
                      <a:graphic xmlns:a="http://schemas.openxmlformats.org/drawingml/2006/main">
                        <a:graphicData uri="http://schemas.microsoft.com/office/word/2010/wordprocessingShape">
                          <wps:wsp>
                            <wps:cNvSpPr/>
                            <wps:spPr>
                              <a:xfrm>
                                <a:off x="0" y="0"/>
                                <a:ext cx="1657350" cy="723900"/>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rPr>
                                  </w:pPr>
                                  <w:r>
                                    <w:rPr>
                                      <w:rFonts w:hint="eastAsia"/>
                                      <w:color w:val="FF0000"/>
                                    </w:rPr>
                                    <w:t>设置踢脚板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33.25pt;margin-top:25.45pt;height:57pt;width:130.5pt;z-index:251659264;v-text-anchor:middle;mso-width-relative:page;mso-height-relative:page;" filled="f" stroked="t" coordsize="21600,21600" o:gfxdata="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JMQ3VAAAACQEAAA8AAAAAAAAAAQAgAAAAIgAAAGRycy9kb3ducmV2LnhtbFBLAQIUABQA&#10;AAAIAIdO4kAkZNIWngIAABEFAAAOAAAAAAAAAAEAIAAAACQBAABkcnMvZTJvRG9jLnhtbFBLBQYA&#10;AAAABgAGAFkBAAA0BgAAAAA=&#10;" adj="6300,24300">
                      <v:fill on="f" focussize="0,0"/>
                      <v:stroke weight="1pt" color="#2F528F [3204]" miterlimit="8" joinstyle="miter"/>
                      <v:imagedata o:title=""/>
                      <o:lock v:ext="edit" aspectratio="f"/>
                      <v:textbox>
                        <w:txbxContent>
                          <w:p>
                            <w:pPr>
                              <w:jc w:val="center"/>
                              <w:rPr>
                                <w:color w:val="FF0000"/>
                              </w:rPr>
                            </w:pPr>
                            <w:r>
                              <w:rPr>
                                <w:rFonts w:hint="eastAsia"/>
                                <w:color w:val="FF0000"/>
                              </w:rPr>
                              <w:t>设置踢脚板</w:t>
                            </w:r>
                          </w:p>
                        </w:txbxContent>
                      </v:textbox>
                    </v:shape>
                  </w:pict>
                </mc:Fallback>
              </mc:AlternateContent>
            </w:r>
            <w:r>
              <w:rPr>
                <w:rFonts w:hint="eastAsia" w:ascii="仿宋" w:hAnsi="仿宋" w:eastAsia="仿宋" w:cs="仿宋"/>
                <w:color w:val="auto"/>
                <w:sz w:val="21"/>
                <w:szCs w:val="21"/>
              </w:rPr>
              <w:drawing>
                <wp:inline distT="0" distB="0" distL="0" distR="0">
                  <wp:extent cx="1975485" cy="1082675"/>
                  <wp:effectExtent l="0" t="0" r="5715" b="9525"/>
                  <wp:docPr id="26" name="Picture 28" descr="855f431ecc173ba22baf6d88ea724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8" descr="855f431ecc173ba22baf6d88ea72425b"/>
                          <pic:cNvPicPr>
                            <a:picLocks noChangeAspect="1" noChangeArrowheads="1"/>
                          </pic:cNvPicPr>
                        </pic:nvPicPr>
                        <pic:blipFill>
                          <a:blip r:embed="rId36"/>
                          <a:srcRect/>
                          <a:stretch>
                            <a:fillRect/>
                          </a:stretch>
                        </pic:blipFill>
                        <pic:spPr>
                          <a:xfrm>
                            <a:off x="0" y="0"/>
                            <a:ext cx="1994299" cy="1093283"/>
                          </a:xfrm>
                          <a:prstGeom prst="rect">
                            <a:avLst/>
                          </a:prstGeom>
                          <a:noFill/>
                          <a:ln>
                            <a:noFill/>
                          </a:ln>
                        </pic:spPr>
                      </pic:pic>
                    </a:graphicData>
                  </a:graphic>
                </wp:inline>
              </w:drawing>
            </w:r>
          </w:p>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槽罐设置围栏及踢脚板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6"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9</w:t>
            </w:r>
          </w:p>
        </w:tc>
        <w:tc>
          <w:tcPr>
            <w:tcW w:w="102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氧化铝</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平盘、立盘</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1.设备部件运行中飞出。</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2.更换滤布作业时从操作平台投掷扇形班。</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1.机械部件固定牢固，对可能发生部件飞出的部位加装防护罩。</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2.设置扇形班滑道。</w:t>
            </w:r>
          </w:p>
        </w:tc>
        <w:tc>
          <w:tcPr>
            <w:tcW w:w="3309"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1.定期对设备进行检查，更换滤布作业时，设备部件等紧固到位，防止部件运行中飞出。</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2.加强检查管理，严禁投掷扇形板。</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3.更换滤布作业时，严格按照操作规程，正确使用工器。</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4.正确佩戴安全帽、防护眼镜、防护面罩、劳保鞋等防物体打击劳保用品。配备防砸手套。</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5.编制物体打击现场处置方案。</w:t>
            </w:r>
          </w:p>
        </w:tc>
        <w:tc>
          <w:tcPr>
            <w:tcW w:w="3673"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mc:AlternateContent>
                <mc:Choice Requires="wps">
                  <w:drawing>
                    <wp:anchor distT="0" distB="0" distL="114300" distR="114300" simplePos="0" relativeHeight="251660288" behindDoc="0" locked="0" layoutInCell="1" allowOverlap="1">
                      <wp:simplePos x="0" y="0"/>
                      <wp:positionH relativeFrom="column">
                        <wp:posOffset>833120</wp:posOffset>
                      </wp:positionH>
                      <wp:positionV relativeFrom="paragraph">
                        <wp:posOffset>690245</wp:posOffset>
                      </wp:positionV>
                      <wp:extent cx="1019175" cy="1000125"/>
                      <wp:effectExtent l="6350" t="6350" r="15875" b="149225"/>
                      <wp:wrapNone/>
                      <wp:docPr id="28" name="椭圆形标注 28"/>
                      <wp:cNvGraphicFramePr/>
                      <a:graphic xmlns:a="http://schemas.openxmlformats.org/drawingml/2006/main">
                        <a:graphicData uri="http://schemas.microsoft.com/office/word/2010/wordprocessingShape">
                          <wps:wsp>
                            <wps:cNvSpPr/>
                            <wps:spPr>
                              <a:xfrm>
                                <a:off x="0" y="0"/>
                                <a:ext cx="1019175" cy="1000125"/>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宋体" w:hAnsi="宋体" w:eastAsia="宋体"/>
                                      <w:b/>
                                      <w:color w:val="FF0000"/>
                                    </w:rPr>
                                  </w:pPr>
                                  <w:r>
                                    <w:rPr>
                                      <w:rFonts w:hint="eastAsia" w:ascii="宋体" w:hAnsi="宋体" w:eastAsia="宋体"/>
                                      <w:b/>
                                      <w:color w:val="FF0000"/>
                                    </w:rPr>
                                    <w:t>设置专用滑道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65.6pt;margin-top:54.35pt;height:78.75pt;width:80.25pt;z-index:251660288;v-text-anchor:middle;mso-width-relative:page;mso-height-relative:page;" filled="f" stroked="t" coordsize="21600,21600" o:gfxdata="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EunxdUAAAALAQAADwAAAAAAAAABACAAAAAiAAAAZHJzL2Rvd25yZXYueG1sUEsBAhQAFAAA&#10;AAgAh07iQGW1ugOdAgAAEgUAAA4AAAAAAAAAAQAgAAAAJAEAAGRycy9lMm9Eb2MueG1sUEsFBgAA&#10;AAAGAAYAWQEAADMGAAAAAA==&#10;" adj="6300,24300">
                      <v:fill on="f" focussize="0,0"/>
                      <v:stroke weight="1pt" color="#2F528F [3204]" miterlimit="8" joinstyle="miter"/>
                      <v:imagedata o:title=""/>
                      <o:lock v:ext="edit" aspectratio="f"/>
                      <v:textbox>
                        <w:txbxContent>
                          <w:p>
                            <w:pPr>
                              <w:jc w:val="center"/>
                              <w:rPr>
                                <w:rFonts w:ascii="宋体" w:hAnsi="宋体" w:eastAsia="宋体"/>
                                <w:b/>
                                <w:color w:val="FF0000"/>
                              </w:rPr>
                            </w:pPr>
                            <w:r>
                              <w:rPr>
                                <w:rFonts w:hint="eastAsia" w:ascii="宋体" w:hAnsi="宋体" w:eastAsia="宋体"/>
                                <w:b/>
                                <w:color w:val="FF0000"/>
                              </w:rPr>
                              <w:t>设置专用滑道</w:t>
                            </w:r>
                          </w:p>
                        </w:txbxContent>
                      </v:textbox>
                    </v:shape>
                  </w:pict>
                </mc:Fallback>
              </mc:AlternateContent>
            </w:r>
            <w:r>
              <w:rPr>
                <w:rFonts w:hint="eastAsia" w:ascii="仿宋" w:hAnsi="仿宋" w:eastAsia="仿宋" w:cs="仿宋"/>
                <w:color w:val="auto"/>
                <w:sz w:val="21"/>
                <w:szCs w:val="21"/>
              </w:rPr>
              <w:drawing>
                <wp:inline distT="0" distB="0" distL="0" distR="0">
                  <wp:extent cx="2438400" cy="1876425"/>
                  <wp:effectExtent l="0" t="0" r="0" b="3175"/>
                  <wp:docPr id="29" name="Picture 1" descr="图片2"/>
                  <wp:cNvGraphicFramePr/>
                  <a:graphic xmlns:a="http://schemas.openxmlformats.org/drawingml/2006/main">
                    <a:graphicData uri="http://schemas.openxmlformats.org/drawingml/2006/picture">
                      <pic:pic xmlns:pic="http://schemas.openxmlformats.org/drawingml/2006/picture">
                        <pic:nvPicPr>
                          <pic:cNvPr id="29" name="Picture 1" descr="图片2"/>
                          <pic:cNvPicPr>
                            <a:picLocks noChangeArrowheads="1"/>
                          </pic:cNvPicPr>
                        </pic:nvPicPr>
                        <pic:blipFill>
                          <a:blip r:embed="rId37"/>
                          <a:srcRect/>
                          <a:stretch>
                            <a:fillRect/>
                          </a:stretch>
                        </pic:blipFill>
                        <pic:spPr>
                          <a:xfrm>
                            <a:off x="0" y="0"/>
                            <a:ext cx="2483198" cy="1910898"/>
                          </a:xfrm>
                          <a:prstGeom prst="rect">
                            <a:avLst/>
                          </a:prstGeom>
                          <a:noFill/>
                          <a:ln>
                            <a:noFill/>
                          </a:ln>
                        </pic:spPr>
                      </pic:pic>
                    </a:graphicData>
                  </a:graphic>
                </wp:inline>
              </w:drawing>
            </w:r>
          </w:p>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设置专用扇形板滑道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6"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10</w:t>
            </w:r>
          </w:p>
        </w:tc>
        <w:tc>
          <w:tcPr>
            <w:tcW w:w="102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氧化铝</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吸收塔、事故浆液箱内部清理</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1.上下交叉作业未落实防坠措施。</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2.清理作业时喷嘴或物件脱落。</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1.断电、验电、电压为“0V”挂牌。</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2.内部安装防坠网。</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3.高处作业时必须架设隔离架板，搭设安全网。</w:t>
            </w:r>
          </w:p>
        </w:tc>
        <w:tc>
          <w:tcPr>
            <w:tcW w:w="3309"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1.制定吸收塔清理方案，必须采取自上而下的清理方式。</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2.高空作业挂好安全带，检修区域严禁站人。</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3.作业人员应穿戴安全帽、劳保服、防尘口罩、手套等劳保用品。</w:t>
            </w:r>
          </w:p>
        </w:tc>
        <w:tc>
          <w:tcPr>
            <w:tcW w:w="3673"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drawing>
                <wp:inline distT="0" distB="0" distL="0" distR="0">
                  <wp:extent cx="2476500" cy="1905000"/>
                  <wp:effectExtent l="0" t="0" r="0" b="0"/>
                  <wp:docPr id="31" name="Picture 1"/>
                  <wp:cNvGraphicFramePr/>
                  <a:graphic xmlns:a="http://schemas.openxmlformats.org/drawingml/2006/main">
                    <a:graphicData uri="http://schemas.openxmlformats.org/drawingml/2006/picture">
                      <pic:pic xmlns:pic="http://schemas.openxmlformats.org/drawingml/2006/picture">
                        <pic:nvPicPr>
                          <pic:cNvPr id="31" name="Picture 1"/>
                          <pic:cNvPicPr>
                            <a:picLocks noChangeArrowheads="1"/>
                          </pic:cNvPicPr>
                        </pic:nvPicPr>
                        <pic:blipFill>
                          <a:blip r:embed="rId38"/>
                          <a:stretch>
                            <a:fillRect/>
                          </a:stretch>
                        </pic:blipFill>
                        <pic:spPr>
                          <a:xfrm>
                            <a:off x="0" y="0"/>
                            <a:ext cx="2484167" cy="1910898"/>
                          </a:xfrm>
                          <a:prstGeom prst="rect">
                            <a:avLst/>
                          </a:prstGeom>
                          <a:noFill/>
                          <a:ln>
                            <a:noFill/>
                          </a:ln>
                        </pic:spPr>
                      </pic:pic>
                    </a:graphicData>
                  </a:graphic>
                </wp:inline>
              </w:drawing>
            </w:r>
          </w:p>
          <w:p>
            <w:pPr>
              <w:widowControl/>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槽罐内作业面上方设置隔离架板及防坠网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6"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11</w:t>
            </w:r>
          </w:p>
        </w:tc>
        <w:tc>
          <w:tcPr>
            <w:tcW w:w="102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电解铝</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吊运母线提升框架、抬母线、槽上部设备维修、电解槽启动</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1.天车吊运阳极滑落。</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2.更换气缸时未泄压。</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3.天车抱闸失灵或钢丝绳断裂。</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4.抬母线复紧卡具扳手断裂或者活脱导致人员失去重心摔伤或碰伤</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1.挂极使用专用夹具、天车夹具防脱装置。</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2.更换气缸前进行泄压操作，压力表完好可靠。</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3.吊运母线提升框架应加装防坠钢丝绳。定期对抱闸及钢丝绳进行检查。作业时保证吊物下方无人员行走或停留。</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4.母线复紧应使用专用扳手。</w:t>
            </w:r>
          </w:p>
        </w:tc>
        <w:tc>
          <w:tcPr>
            <w:tcW w:w="3309"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1.操作前应对夹具进行检查。</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2.天车操作人员持证上岗；严格落实“十不吊”安全操作规程，专人现场进行指挥、监护。</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3.定期对操作人员进行安全操作技术规程培训及考核。</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4.操作人员应保持安全距离。</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5.操作人员佩戴好安全帽、防护面罩、劳保鞋、防护手套。</w:t>
            </w:r>
          </w:p>
        </w:tc>
        <w:tc>
          <w:tcPr>
            <w:tcW w:w="3673"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mc:AlternateContent>
                <mc:Choice Requires="wps">
                  <w:drawing>
                    <wp:anchor distT="0" distB="0" distL="114300" distR="114300" simplePos="0" relativeHeight="251661312" behindDoc="0" locked="0" layoutInCell="1" allowOverlap="1">
                      <wp:simplePos x="0" y="0"/>
                      <wp:positionH relativeFrom="column">
                        <wp:posOffset>695325</wp:posOffset>
                      </wp:positionH>
                      <wp:positionV relativeFrom="paragraph">
                        <wp:posOffset>187960</wp:posOffset>
                      </wp:positionV>
                      <wp:extent cx="942340" cy="1184275"/>
                      <wp:effectExtent l="19050" t="19050" r="29210" b="28575"/>
                      <wp:wrapNone/>
                      <wp:docPr id="38" name="椭圆 38"/>
                      <wp:cNvGraphicFramePr/>
                      <a:graphic xmlns:a="http://schemas.openxmlformats.org/drawingml/2006/main">
                        <a:graphicData uri="http://schemas.microsoft.com/office/word/2010/wordprocessingShape">
                          <wps:wsp>
                            <wps:cNvSpPr/>
                            <wps:spPr>
                              <a:xfrm>
                                <a:off x="8607425" y="1166495"/>
                                <a:ext cx="942340" cy="11842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4.75pt;margin-top:14.8pt;height:93.25pt;width:74.2pt;z-index:251661312;v-text-anchor:middle;mso-width-relative:page;mso-height-relative:page;" filled="f" stroked="t" coordsize="21600,21600" o:gfxdata="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ZQEvQNcAAAAKAQAADwAAAAAAAAABACAAAAAiAAAA&#10;ZHJzL2Rvd25yZXYueG1sUEsBAhQAFAAAAAgAh07iQGhW1tV6AgAA3AQAAA4AAAAAAAAAAQAgAAAA&#10;JgEAAGRycy9lMm9Eb2MueG1sUEsFBgAAAAAGAAYAWQEAABIGAAAAAA==&#10;">
                      <v:fill on="f" focussize="0,0"/>
                      <v:stroke weight="3pt" color="#FF0000 [3204]" miterlimit="8" joinstyle="miter"/>
                      <v:imagedata o:title=""/>
                      <o:lock v:ext="edit" aspectratio="f"/>
                    </v:shape>
                  </w:pict>
                </mc:Fallback>
              </mc:AlternateContent>
            </w:r>
            <w:r>
              <w:rPr>
                <w:rFonts w:hint="eastAsia" w:ascii="仿宋" w:hAnsi="仿宋" w:eastAsia="仿宋" w:cs="仿宋"/>
                <w:color w:val="auto"/>
                <w:sz w:val="21"/>
                <w:szCs w:val="21"/>
              </w:rPr>
              <w:drawing>
                <wp:inline distT="0" distB="0" distL="0" distR="0">
                  <wp:extent cx="2470150" cy="1930400"/>
                  <wp:effectExtent l="0" t="0" r="6350" b="0"/>
                  <wp:docPr id="35" name="图片 35" descr="F:\安全生产PPT模板\PPT课件\标准化分厂\铝六标准化分厂\标准化课件图片1.26\5第四张及第五张，图为各检查人员，严格按照检查标谁化表格逐项对照检查，检查工作有序、严谨、全面。极大提高了工作效率及质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安全生产PPT模板\PPT课件\标准化分厂\铝六标准化分厂\标准化课件图片1.26\5第四张及第五张，图为各检查人员，严格按照检查标谁化表格逐项对照检查，检查工作有序、严谨、全面。极大提高了工作效率及质量.jpg"/>
                          <pic:cNvPicPr>
                            <a:picLocks noChangeAspect="1" noChangeArrowheads="1"/>
                          </pic:cNvPicPr>
                        </pic:nvPicPr>
                        <pic:blipFill>
                          <a:blip r:embed="rId39"/>
                          <a:srcRect/>
                          <a:stretch>
                            <a:fillRect/>
                          </a:stretch>
                        </pic:blipFill>
                        <pic:spPr>
                          <a:xfrm>
                            <a:off x="0" y="0"/>
                            <a:ext cx="2484118" cy="1940819"/>
                          </a:xfrm>
                          <a:prstGeom prst="rect">
                            <a:avLst/>
                          </a:prstGeom>
                        </pic:spPr>
                      </pic:pic>
                    </a:graphicData>
                  </a:graphic>
                </wp:inline>
              </w:drawing>
            </w:r>
          </w:p>
          <w:p>
            <w:pPr>
              <w:widowControl/>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母线提升框架夹具防脱装置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6"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12</w:t>
            </w:r>
          </w:p>
        </w:tc>
        <w:tc>
          <w:tcPr>
            <w:tcW w:w="102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有色金属压延加工</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吊运卷材作业、翻卷作业、包装作业</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1.铝卷掉落。</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2.操作人员违章作业。</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1.吊运铝卷调整方向时使用专用工具、不得手扶吊物。</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2.翻卷区域设置护网，增加声光报警设施。</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3.包装吸附装置周围设置护栏，增加负压报警装置。</w:t>
            </w:r>
          </w:p>
        </w:tc>
        <w:tc>
          <w:tcPr>
            <w:tcW w:w="3309"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1.定期对操作人员进行安全操作技术规程培训和事故案例学习。</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2.劳保用品穿戴要求，佩戴安全帽、劳保手套、工作服。</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3.人员合理站位，远离冲击线。</w:t>
            </w:r>
          </w:p>
        </w:tc>
        <w:tc>
          <w:tcPr>
            <w:tcW w:w="3673"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mc:AlternateContent>
                <mc:Choice Requires="wps">
                  <w:drawing>
                    <wp:anchor distT="0" distB="0" distL="114300" distR="114300" simplePos="0" relativeHeight="251662336" behindDoc="0" locked="0" layoutInCell="1" allowOverlap="1">
                      <wp:simplePos x="0" y="0"/>
                      <wp:positionH relativeFrom="column">
                        <wp:posOffset>1055370</wp:posOffset>
                      </wp:positionH>
                      <wp:positionV relativeFrom="paragraph">
                        <wp:posOffset>636905</wp:posOffset>
                      </wp:positionV>
                      <wp:extent cx="417830" cy="211455"/>
                      <wp:effectExtent l="12065" t="36195" r="1905" b="44450"/>
                      <wp:wrapNone/>
                      <wp:docPr id="39" name="右箭头 39"/>
                      <wp:cNvGraphicFramePr/>
                      <a:graphic xmlns:a="http://schemas.openxmlformats.org/drawingml/2006/main">
                        <a:graphicData uri="http://schemas.microsoft.com/office/word/2010/wordprocessingShape">
                          <wps:wsp>
                            <wps:cNvSpPr/>
                            <wps:spPr>
                              <a:xfrm rot="1440000">
                                <a:off x="8866505" y="3743325"/>
                                <a:ext cx="417830" cy="21145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83.1pt;margin-top:50.15pt;height:16.65pt;width:32.9pt;rotation:1572864f;z-index:251662336;v-text-anchor:middle;mso-width-relative:page;mso-height-relative:page;" fillcolor="#FF0000" filled="t" stroked="t" coordsize="21600,21600" o:gfxdata="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91uphdYAAAALAQAADwAA&#10;AAAAAAABACAAAAAiAAAAZHJzL2Rvd25yZXYueG1sUEsBAhQAFAAAAAgAh07iQPvaue+KAgAAGAUA&#10;AA4AAAAAAAAAAQAgAAAAJQEAAGRycy9lMm9Eb2MueG1sUEsFBgAAAAAGAAYAWQEAACEGAAAAAA==&#10;" adj="16135,5400">
                      <v:fill on="t" focussize="0,0"/>
                      <v:stroke weight="1pt" color="#FF0000 [3204]" miterlimit="8" joinstyle="miter"/>
                      <v:imagedata o:title=""/>
                      <o:lock v:ext="edit" aspectratio="f"/>
                    </v:shape>
                  </w:pict>
                </mc:Fallback>
              </mc:AlternateContent>
            </w:r>
            <w:r>
              <w:rPr>
                <w:rFonts w:hint="eastAsia" w:ascii="仿宋" w:hAnsi="仿宋" w:eastAsia="仿宋" w:cs="仿宋"/>
                <w:color w:val="auto"/>
                <w:sz w:val="21"/>
                <w:szCs w:val="21"/>
              </w:rPr>
              <w:drawing>
                <wp:inline distT="0" distB="0" distL="0" distR="0">
                  <wp:extent cx="2552065" cy="1771650"/>
                  <wp:effectExtent l="0" t="0" r="635" b="6350"/>
                  <wp:docPr id="37" name="图片 37" descr="C:\Users\0-25-037\AppData\Local\Temp\WeChat Files\054ea7051a89d57d5b460b70b1ef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0-25-037\AppData\Local\Temp\WeChat Files\054ea7051a89d57d5b460b70b1ef865.jpg"/>
                          <pic:cNvPicPr>
                            <a:picLocks noChangeAspect="1" noChangeArrowheads="1"/>
                          </pic:cNvPicPr>
                        </pic:nvPicPr>
                        <pic:blipFill>
                          <a:blip r:embed="rId40"/>
                          <a:srcRect/>
                          <a:stretch>
                            <a:fillRect/>
                          </a:stretch>
                        </pic:blipFill>
                        <pic:spPr>
                          <a:xfrm>
                            <a:off x="0" y="0"/>
                            <a:ext cx="2555358" cy="1773775"/>
                          </a:xfrm>
                          <a:prstGeom prst="rect">
                            <a:avLst/>
                          </a:prstGeom>
                          <a:noFill/>
                          <a:ln>
                            <a:noFill/>
                          </a:ln>
                        </pic:spPr>
                      </pic:pic>
                    </a:graphicData>
                  </a:graphic>
                </wp:inline>
              </w:drawing>
            </w:r>
          </w:p>
          <w:p>
            <w:pPr>
              <w:widowControl/>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配备专用扶吊物工具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6"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13</w:t>
            </w:r>
          </w:p>
        </w:tc>
        <w:tc>
          <w:tcPr>
            <w:tcW w:w="102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有色金属合金制造</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铝合金成品长棒码垛</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铝合金成品长棒码垛较高时，单独使用方木作为垫木，存在压塌砸伤周围人员的风险。</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铝合金成品长棒码垛较高时，使用方管（硬质）作为垫木，或方管和方木共用。</w:t>
            </w:r>
          </w:p>
        </w:tc>
        <w:tc>
          <w:tcPr>
            <w:tcW w:w="3309"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1.设置显著的安全警示标识。</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2.在堆垛现场画设警示标线。</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3.对于超高或显著倾翻风险的设施应立即进行整治。</w:t>
            </w:r>
          </w:p>
        </w:tc>
        <w:tc>
          <w:tcPr>
            <w:tcW w:w="3673"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object>
                <v:shape id="_x0000_i1034" o:spt="75" alt="" type="#_x0000_t75" style="height:105.3pt;width:129pt;" o:ole="t" filled="f" o:preferrelative="t" stroked="f" coordsize="21600,21600">
                  <v:path/>
                  <v:fill on="f" focussize="0,0"/>
                  <v:stroke on="f"/>
                  <v:imagedata r:id="rId42" o:title=""/>
                  <o:lock v:ext="edit" aspectratio="t"/>
                  <w10:wrap type="none"/>
                  <w10:anchorlock/>
                </v:shape>
                <o:OLEObject Type="Embed" ProgID="PBrush" ShapeID="_x0000_i1034" DrawAspect="Content" ObjectID="_1468075734" r:id="rId41">
                  <o:LockedField>false</o:LockedField>
                </o:OLEObject>
              </w:object>
            </w:r>
          </w:p>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设置专用垛场及固定方木</w:t>
            </w:r>
          </w:p>
        </w:tc>
      </w:tr>
    </w:tbl>
    <w:p>
      <w:pPr>
        <w:rPr>
          <w:rFonts w:ascii="宋体" w:hAnsi="宋体" w:eastAsia="宋体"/>
          <w:color w:val="auto"/>
          <w:sz w:val="28"/>
          <w:szCs w:val="32"/>
        </w:rPr>
      </w:pPr>
    </w:p>
    <w:p>
      <w:pPr>
        <w:rPr>
          <w:rFonts w:ascii="宋体" w:hAnsi="宋体" w:eastAsia="宋体"/>
          <w:color w:val="auto"/>
          <w:sz w:val="28"/>
          <w:szCs w:val="32"/>
        </w:rPr>
      </w:pPr>
    </w:p>
    <w:p>
      <w:pPr>
        <w:rPr>
          <w:rFonts w:ascii="宋体" w:hAnsi="宋体" w:eastAsia="宋体"/>
          <w:color w:val="auto"/>
          <w:sz w:val="28"/>
          <w:szCs w:val="32"/>
        </w:rPr>
      </w:pPr>
      <w:r>
        <w:rPr>
          <w:rFonts w:ascii="宋体" w:hAnsi="宋体" w:eastAsia="宋体"/>
          <w:color w:val="auto"/>
          <w:sz w:val="28"/>
          <w:szCs w:val="32"/>
        </w:rPr>
        <w:br w:type="page"/>
      </w:r>
    </w:p>
    <w:p>
      <w:pP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4.建材行业典型物体打击事故管控措施</w:t>
      </w:r>
    </w:p>
    <w:tbl>
      <w:tblPr>
        <w:tblStyle w:val="4"/>
        <w:tblW w:w="14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078"/>
        <w:gridCol w:w="1871"/>
        <w:gridCol w:w="1871"/>
        <w:gridCol w:w="2592"/>
        <w:gridCol w:w="3023"/>
        <w:gridCol w:w="3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00" w:type="dxa"/>
            <w:shd w:val="clear" w:color="auto" w:fill="auto"/>
            <w:vAlign w:val="center"/>
          </w:tcPr>
          <w:p>
            <w:pPr>
              <w:widowControl/>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序号</w:t>
            </w:r>
          </w:p>
        </w:tc>
        <w:tc>
          <w:tcPr>
            <w:tcW w:w="1078" w:type="dxa"/>
            <w:shd w:val="clear" w:color="auto" w:fill="auto"/>
            <w:vAlign w:val="center"/>
          </w:tcPr>
          <w:p>
            <w:pPr>
              <w:widowControl/>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中类行业名称</w:t>
            </w:r>
          </w:p>
        </w:tc>
        <w:tc>
          <w:tcPr>
            <w:tcW w:w="1871" w:type="dxa"/>
            <w:shd w:val="clear" w:color="auto" w:fill="auto"/>
            <w:vAlign w:val="center"/>
          </w:tcPr>
          <w:p>
            <w:pPr>
              <w:widowControl/>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典型设备设施或作业活动举例</w:t>
            </w:r>
          </w:p>
        </w:tc>
        <w:tc>
          <w:tcPr>
            <w:tcW w:w="1871" w:type="dxa"/>
            <w:shd w:val="clear" w:color="auto" w:fill="auto"/>
            <w:vAlign w:val="center"/>
          </w:tcPr>
          <w:p>
            <w:pPr>
              <w:widowControl/>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事故原因</w:t>
            </w:r>
          </w:p>
        </w:tc>
        <w:tc>
          <w:tcPr>
            <w:tcW w:w="2592" w:type="dxa"/>
            <w:shd w:val="clear" w:color="auto" w:fill="auto"/>
            <w:vAlign w:val="center"/>
          </w:tcPr>
          <w:p>
            <w:pPr>
              <w:widowControl/>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典型工程技术措施</w:t>
            </w:r>
          </w:p>
        </w:tc>
        <w:tc>
          <w:tcPr>
            <w:tcW w:w="3023" w:type="dxa"/>
            <w:shd w:val="clear" w:color="auto" w:fill="auto"/>
            <w:vAlign w:val="center"/>
          </w:tcPr>
          <w:p>
            <w:pPr>
              <w:widowControl/>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典型的管理措施</w:t>
            </w:r>
          </w:p>
        </w:tc>
        <w:tc>
          <w:tcPr>
            <w:tcW w:w="3959" w:type="dxa"/>
            <w:shd w:val="clear" w:color="auto" w:fill="auto"/>
            <w:vAlign w:val="center"/>
          </w:tcPr>
          <w:p>
            <w:pPr>
              <w:widowControl/>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好的做法示例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00"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w:t>
            </w:r>
          </w:p>
        </w:tc>
        <w:tc>
          <w:tcPr>
            <w:tcW w:w="1078"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水泥、石灰和石膏制造；玻璃制造、建筑卫生陶瓷制造、耐火材料制造、砖瓦石材等建筑材料制造、石膏板制造</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存在高处落差的区域（工业梯台、高层建筑、分解炉、回转窑、篦冷机等）</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1.高处非固定物件掉落伤人。</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2.作业时物料掉落或乱扔工器具、杂物。</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1.工作平台外侧应按照要求设置护栏、踢脚板。</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2.划定作业区域并设置警戒隔离措施，防止无关人员进入。</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3.分解炉、回转窑、篦冷机内部作业时应锁紧下料翻板阀，并应关闭空气炮，作业过程中，应密切关注窑内耐火砖、窑皮有无松垮现象再缓慢向内推进。</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4.安全通道上方应搭设防护设施，防护设施使用的材料要能防止高空坠落物穿透。</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5.脚手架钢管、扣件选用及架体搭设、负荷应符合要求。</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6.涉及环保脱硝的企业应通过测厚探伤定期观测环保脱硝工艺对设备管道构件腐蚀情况，做好补强工作。</w:t>
            </w:r>
          </w:p>
        </w:tc>
        <w:tc>
          <w:tcPr>
            <w:tcW w:w="3023"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1.设备检维修作业必须严格落实作业分级审批许可手续，作业过程应有专人监护，确保作业过程能量意外释放风险可控。</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2.大风天气前应检查高层建筑是否有遗留未固定杂物、待脱落保温层等存在掉落可能物件并及时处理，大风天气避免室外作业。</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3.涉及分解炉、烟室、回转窑、篦冷机等存在浇注料、耐火砖等介质的内部作业，作业前必须检查确认无遗留松脱的结皮、浇注料、耐火砖。</w:t>
            </w:r>
          </w:p>
        </w:tc>
        <w:tc>
          <w:tcPr>
            <w:tcW w:w="3959"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object>
                <v:shape id="_x0000_i1035" o:spt="75" alt="" type="#_x0000_t75" style="height:293.4pt;width:173.55pt;" o:ole="t" filled="f" o:preferrelative="t" stroked="f" coordsize="21600,21600">
                  <v:path/>
                  <v:fill on="f" focussize="0,0"/>
                  <v:stroke on="f"/>
                  <v:imagedata r:id="rId44" o:title=""/>
                  <o:lock v:ext="edit" aspectratio="t"/>
                  <w10:wrap type="none"/>
                  <w10:anchorlock/>
                </v:shape>
                <o:OLEObject Type="Embed" ProgID="PBrush" ShapeID="_x0000_i1035" DrawAspect="Content" ObjectID="_1468075735" r:id="rId4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00"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w:t>
            </w:r>
          </w:p>
        </w:tc>
        <w:tc>
          <w:tcPr>
            <w:tcW w:w="1078"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水泥、石灰和石膏制造；玻璃制造、建筑卫生陶瓷制造、耐火材料制造、石膏板制造</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破碎设备、粉磨设备、预热器、回转窑、篦冷机、碎玻璃入料仓口等存在物件飞出伤人的设备、设施。</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1.使用工器具敲打耐磨板材致使铁屑、碎铁块飞出伤人。</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2.运转设备壳体破损或检修人孔门松脱，内容物或表面螺栓、破损法兰飞出伤人。</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3.破碎机内部作业前未清理机口残留石块。</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4.未按要求配备、穿戴个人防护用品。</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1.设备传动装置的旋转件外露部分应配置防护罩或防护网等安全防护装置，露出的轴承应加护盖。</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2.磨机、回转窑辅传抱闸应安装质地可靠的防护罩，防止抱闸崩脱伤人。</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3.设备上的螺钉、螺母和销钉等连接件均应采取可靠的防松措施。</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4.操作使用的机器设备，必须符合质量要求，带病设备未修复达标前严禁使用；排除设备故障或清理物料前必须停机。</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5.在使用电钻、电锤时采取固定防范措施，砂轮机等手持工具必须可靠，砂轮片、钻头等需固定牢固，如发现砂轮有裂纹或其他损伤严禁使用。</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6.碎玻璃入料仓口应设置防碎玻璃飞溅的安全护板。</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7.破碎设备周围应设置防物件飞出的防护装置。</w:t>
            </w:r>
          </w:p>
        </w:tc>
        <w:tc>
          <w:tcPr>
            <w:tcW w:w="3023"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1.设备检维修作业必须严格落实作业分级审批许可手续，作业过程应有专人监护，确保作业过程能量意外释放风险可控。</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2.破碎机内部作业前清理机口残留石块。</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3.检查预热器各级翻板阀时应确保重锤安装牢固。</w:t>
            </w:r>
          </w:p>
        </w:tc>
        <w:tc>
          <w:tcPr>
            <w:tcW w:w="3959"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object>
                <v:shape id="_x0000_i1036" o:spt="75" alt="" type="#_x0000_t75" style="height:295.5pt;width:175.2pt;" o:ole="t" filled="f" o:preferrelative="t" stroked="f" coordsize="21600,21600">
                  <v:path/>
                  <v:fill on="f" focussize="0,0"/>
                  <v:stroke on="f"/>
                  <v:imagedata r:id="rId46" o:title=""/>
                  <o:lock v:ext="edit" aspectratio="t"/>
                  <w10:wrap type="none"/>
                  <w10:anchorlock/>
                </v:shape>
                <o:OLEObject Type="Embed" ProgID="PBrush" ShapeID="_x0000_i1036" DrawAspect="Content" ObjectID="_1468075736" r:id="rId4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00"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w:t>
            </w:r>
          </w:p>
        </w:tc>
        <w:tc>
          <w:tcPr>
            <w:tcW w:w="1078"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水泥、石灰和石膏制造；玻璃制造、建筑卫生陶瓷制造、耐火材料制造、石膏板制造</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气动软管、物料泵送管道、高压水枪。</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承压管道松脱造成冲击伤害。</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1.所有气动软管、高压水管、物料泵送管道均需使用可靠的固定防脱装置。</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2.管道压力不应超过设定的工作压力。</w:t>
            </w:r>
          </w:p>
        </w:tc>
        <w:tc>
          <w:tcPr>
            <w:tcW w:w="3023"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1.定期检查气动软管、高压水管，出现老化、龟裂应及时更换，更换前应确认压力已释放。</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2.物料泵送作业应划定泵车停放区域，设定安全范围，设置安全告知及操作规程，作业过程禁止人员靠近；罐车司机打开物料罐上部时应确认罐内压力已释放。</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3.作业前应先将高压水枪插入清料门，后开启水泵，清料后应先停水泵，再抽水枪。</w:t>
            </w:r>
          </w:p>
        </w:tc>
        <w:tc>
          <w:tcPr>
            <w:tcW w:w="3959"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object>
                <v:shape id="_x0000_i1037" o:spt="75" alt="" type="#_x0000_t75" style="height:278.85pt;width:183.1pt;" o:ole="t" filled="f" o:preferrelative="t" stroked="f" coordsize="21600,21600">
                  <v:path/>
                  <v:fill on="f" focussize="0,0"/>
                  <v:stroke on="f"/>
                  <v:imagedata r:id="rId48" o:title=""/>
                  <o:lock v:ext="edit" aspectratio="t"/>
                  <w10:wrap type="none"/>
                  <w10:anchorlock/>
                </v:shape>
                <o:OLEObject Type="Embed" ProgID="PBrush" ShapeID="_x0000_i1037" DrawAspect="Content" ObjectID="_1468075737" r:id="rId4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00"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4</w:t>
            </w:r>
          </w:p>
        </w:tc>
        <w:tc>
          <w:tcPr>
            <w:tcW w:w="1078"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水泥、石灰和石膏制造</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筒型库清库作业</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库内物料潮湿板结，未清理筒型库侧挂壁料的情况下人员进入库内作业。</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1.应选好、系好安全带、安全绳。</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2.应确认爬梯牢固可靠；自上而下清理。</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3.应保持足够照明。</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4.应选好安全绳固定点。</w:t>
            </w:r>
          </w:p>
        </w:tc>
        <w:tc>
          <w:tcPr>
            <w:tcW w:w="3023"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1.水泥工厂筒型储存库人工清库作业承包方应具备高空作业工程专业承包资质。</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2.清库作业前应进行风险分析并按照清库安全规程要求制定作业方案、危险作业分级审批，落实安全措施。</w:t>
            </w:r>
          </w:p>
        </w:tc>
        <w:tc>
          <w:tcPr>
            <w:tcW w:w="3959"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object>
                <v:shape id="_x0000_i1038" o:spt="75" alt="" type="#_x0000_t75" style="height:222.65pt;width:154.4pt;" o:ole="t" filled="f" o:preferrelative="t" stroked="f" coordsize="21600,21600">
                  <v:path/>
                  <v:fill on="f" focussize="0,0"/>
                  <v:stroke on="f"/>
                  <v:imagedata r:id="rId50" o:title=""/>
                  <o:lock v:ext="edit" aspectratio="t"/>
                  <w10:wrap type="none"/>
                  <w10:anchorlock/>
                </v:shape>
                <o:OLEObject Type="Embed" ProgID="PBrush" ShapeID="_x0000_i1038" DrawAspect="Content" ObjectID="_1468075738" r:id="rId49">
                  <o:LockedField>false</o:LockedField>
                </o:OLEObject>
              </w:object>
            </w:r>
          </w:p>
        </w:tc>
      </w:tr>
    </w:tbl>
    <w:p>
      <w:pPr>
        <w:rPr>
          <w:rFonts w:hint="eastAsia" w:ascii="宋体" w:hAnsi="宋体" w:eastAsia="宋体"/>
          <w:color w:val="auto"/>
          <w:sz w:val="28"/>
          <w:szCs w:val="32"/>
          <w:lang w:val="en-US" w:eastAsia="zh-CN"/>
        </w:rPr>
      </w:pPr>
    </w:p>
    <w:p>
      <w:pPr>
        <w:rPr>
          <w:rFonts w:hint="eastAsia" w:ascii="宋体" w:hAnsi="宋体" w:eastAsia="宋体"/>
          <w:color w:val="auto"/>
          <w:sz w:val="28"/>
          <w:szCs w:val="32"/>
          <w:lang w:val="en-US" w:eastAsia="zh-CN"/>
        </w:rPr>
      </w:pPr>
    </w:p>
    <w:p>
      <w:pPr>
        <w:rPr>
          <w:rFonts w:hint="eastAsia" w:ascii="宋体" w:hAnsi="宋体" w:eastAsia="宋体"/>
          <w:color w:val="auto"/>
          <w:sz w:val="28"/>
          <w:szCs w:val="32"/>
          <w:lang w:val="en-US" w:eastAsia="zh-CN"/>
        </w:rPr>
      </w:pPr>
      <w:r>
        <w:rPr>
          <w:rFonts w:hint="eastAsia" w:ascii="宋体" w:hAnsi="宋体" w:eastAsia="宋体"/>
          <w:color w:val="auto"/>
          <w:sz w:val="28"/>
          <w:szCs w:val="32"/>
          <w:lang w:val="en-US" w:eastAsia="zh-CN"/>
        </w:rPr>
        <w:br w:type="page"/>
      </w:r>
    </w:p>
    <w:p>
      <w:pP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eastAsia="zh-CN"/>
        </w:rPr>
        <w:t>5</w:t>
      </w:r>
      <w:r>
        <w:rPr>
          <w:rFonts w:hint="eastAsia" w:ascii="楷体_GB2312" w:hAnsi="楷体_GB2312" w:eastAsia="楷体_GB2312" w:cs="楷体_GB2312"/>
          <w:color w:val="auto"/>
          <w:sz w:val="28"/>
          <w:szCs w:val="32"/>
        </w:rPr>
        <w:t>.机械行业典型物体打击事故管控措施</w:t>
      </w:r>
    </w:p>
    <w:tbl>
      <w:tblPr>
        <w:tblStyle w:val="4"/>
        <w:tblW w:w="14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1022"/>
        <w:gridCol w:w="1871"/>
        <w:gridCol w:w="1871"/>
        <w:gridCol w:w="2592"/>
        <w:gridCol w:w="3021"/>
        <w:gridCol w:w="3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7"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序号</w:t>
            </w:r>
          </w:p>
        </w:tc>
        <w:tc>
          <w:tcPr>
            <w:tcW w:w="1022"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中类行业名称</w:t>
            </w:r>
          </w:p>
        </w:tc>
        <w:tc>
          <w:tcPr>
            <w:tcW w:w="1871"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典型设备设施或作业活动举例</w:t>
            </w:r>
          </w:p>
        </w:tc>
        <w:tc>
          <w:tcPr>
            <w:tcW w:w="1871"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事故原因</w:t>
            </w:r>
          </w:p>
        </w:tc>
        <w:tc>
          <w:tcPr>
            <w:tcW w:w="2592"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典型工程技术措施</w:t>
            </w:r>
          </w:p>
        </w:tc>
        <w:tc>
          <w:tcPr>
            <w:tcW w:w="3021"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典型的管理措施</w:t>
            </w:r>
          </w:p>
        </w:tc>
        <w:tc>
          <w:tcPr>
            <w:tcW w:w="3960"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好的做法示例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7"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1</w:t>
            </w:r>
          </w:p>
        </w:tc>
        <w:tc>
          <w:tcPr>
            <w:tcW w:w="1022"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机械行业</w:t>
            </w:r>
          </w:p>
        </w:tc>
        <w:tc>
          <w:tcPr>
            <w:tcW w:w="1871"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车、镗、铣、钻机床等</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1.相对运动的机床刀具、带锐角的加工件，缺少防止意外破碎、抛出防护。</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2.操作旋转机床等颗粒飞溅作业未戴防护眼镜。</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3.机床上摆放工具、材料、零件的浮动物品。</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1.隔离运动的刀具与工件。</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2.设备应采取放置颗粒飞溅的防护措施。</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3.设置防止物品坠落的装置。</w:t>
            </w:r>
          </w:p>
        </w:tc>
        <w:tc>
          <w:tcPr>
            <w:tcW w:w="302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1.实行“师傅带徒弟制度”，徒弟独立作业前，老师要对徒弟的吃刀量、工件装夹安全负责。</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2.按规定佩戴防护眼镜。</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3.着装防砸工作鞋。</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4.清理高处浮动物。</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5.推行“5S”现场管理。</w:t>
            </w:r>
          </w:p>
        </w:tc>
        <w:tc>
          <w:tcPr>
            <w:tcW w:w="3960" w:type="dxa"/>
            <w:shd w:val="clear" w:color="auto" w:fill="auto"/>
            <w:vAlign w:val="center"/>
          </w:tcPr>
          <w:p>
            <w:pPr>
              <w:widowControl/>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7"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2</w:t>
            </w:r>
          </w:p>
        </w:tc>
        <w:tc>
          <w:tcPr>
            <w:tcW w:w="1022"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机械行业</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混砂机、压力机、起重机械和厂房建筑等存在零部件坠落伤人的设备设施</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1.进入不稳定（意外碰撞可倒塌）构建、建筑的空间内作业。</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2.未按规定带安全帽。</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1.作业工位应与物料存放区隔离。</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2.高处物件设置防松连接与防止坠落的护板。</w:t>
            </w:r>
          </w:p>
        </w:tc>
        <w:tc>
          <w:tcPr>
            <w:tcW w:w="302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1.定期组织建筑物、构筑物以及作业工位物件安全稳定性鉴定，特别是超过使用期限的建筑物、构筑物。</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2.按规定佩戴防护眼镜。</w:t>
            </w:r>
          </w:p>
        </w:tc>
        <w:tc>
          <w:tcPr>
            <w:tcW w:w="3960" w:type="dxa"/>
            <w:shd w:val="clear" w:color="auto" w:fill="auto"/>
            <w:vAlign w:val="center"/>
          </w:tcPr>
          <w:p>
            <w:pPr>
              <w:widowControl/>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7"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3</w:t>
            </w:r>
          </w:p>
        </w:tc>
        <w:tc>
          <w:tcPr>
            <w:tcW w:w="1022"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机械行业</w:t>
            </w:r>
          </w:p>
        </w:tc>
        <w:tc>
          <w:tcPr>
            <w:tcW w:w="1871"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起重设备</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1.吊物下作业、逗留、穿行。</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2.吊钩过卷扬限位失灵、吊钩过卷扬坠落。</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1.吊物下作业，必须设置可靠的支撑。</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2.设置双重过卷扬限位。</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3.吊运熔融金属的起重机应符合《冶金起重机技术条件第５部分：铸造起重机》《高温熔融金属吊运安全规程》的相关规定。</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4.吊索具应定期检查，吊钩和横梁应定期进行探伤检验。</w:t>
            </w:r>
          </w:p>
        </w:tc>
        <w:tc>
          <w:tcPr>
            <w:tcW w:w="302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1.严禁吊物下作业、吊物过人，位置必究。</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2.每天试车；每周保养；每月专业检查，保障吊运安全。</w:t>
            </w:r>
          </w:p>
        </w:tc>
        <w:tc>
          <w:tcPr>
            <w:tcW w:w="3960" w:type="dxa"/>
            <w:shd w:val="clear" w:color="auto" w:fill="auto"/>
            <w:vAlign w:val="center"/>
          </w:tcPr>
          <w:p>
            <w:pPr>
              <w:widowControl/>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7"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4</w:t>
            </w:r>
          </w:p>
        </w:tc>
        <w:tc>
          <w:tcPr>
            <w:tcW w:w="102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通用设备制造业、专用设备制造业、汽车制造业</w:t>
            </w:r>
          </w:p>
        </w:tc>
        <w:tc>
          <w:tcPr>
            <w:tcW w:w="1871"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大件放置</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1.受外力碰撞。</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2.放置不稳。</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1.针对不同的工件设置相应防倾倒装置。</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2.大件放置区域设置警示带。</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3.规划工件放置区域，固定位置存放。</w:t>
            </w:r>
          </w:p>
        </w:tc>
        <w:tc>
          <w:tcPr>
            <w:tcW w:w="302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1.编制大件放置标准，规定放置高度、叠放件数及防倾倒装置使用要求，监督措施使用。</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2.操作人员正确穿戴劳动防护用品（安全帽、劳保鞋、防护服）。</w:t>
            </w:r>
          </w:p>
        </w:tc>
        <w:tc>
          <w:tcPr>
            <w:tcW w:w="3960"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object>
                <v:shape id="_x0000_i1039" o:spt="75" alt="" type="#_x0000_t75" style="height:106.95pt;width:141.9pt;" o:ole="t" filled="f" o:preferrelative="t" stroked="f" coordsize="21600,21600">
                  <v:path/>
                  <v:fill on="f" focussize="0,0"/>
                  <v:stroke on="f"/>
                  <v:imagedata r:id="rId52" o:title=""/>
                  <o:lock v:ext="edit" aspectratio="t"/>
                  <w10:wrap type="none"/>
                  <w10:anchorlock/>
                </v:shape>
                <o:OLEObject Type="Embed" ProgID="PBrush" ShapeID="_x0000_i1039" DrawAspect="Content" ObjectID="_1468075739" r:id="rId51">
                  <o:LockedField>false</o:LockedField>
                </o:OLEObject>
              </w:object>
            </w:r>
          </w:p>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object>
                <v:shape id="_x0000_i1040" o:spt="75" alt="" type="#_x0000_t75" style="height:109.05pt;width:147.35pt;" o:ole="t" filled="f" o:preferrelative="t" stroked="f" coordsize="21600,21600">
                  <v:path/>
                  <v:fill on="f" focussize="0,0"/>
                  <v:stroke on="f"/>
                  <v:imagedata r:id="rId54" o:title=""/>
                  <o:lock v:ext="edit" aspectratio="t"/>
                  <w10:wrap type="none"/>
                  <w10:anchorlock/>
                </v:shape>
                <o:OLEObject Type="Embed" ProgID="PBrush" ShapeID="_x0000_i1040" DrawAspect="Content" ObjectID="_1468075740" r:id="rId5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7"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5</w:t>
            </w:r>
          </w:p>
        </w:tc>
        <w:tc>
          <w:tcPr>
            <w:tcW w:w="1022"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机械行业</w:t>
            </w:r>
          </w:p>
        </w:tc>
        <w:tc>
          <w:tcPr>
            <w:tcW w:w="1871"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装配、检维修</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1.高处作业工具坠落。</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2.危险作业未办理审批手续。</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3.高处抛掷物品。</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1.设置工件连接手链。</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2.配备工具包。</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3.设置高处物品传递设施、器具。</w:t>
            </w:r>
          </w:p>
        </w:tc>
        <w:tc>
          <w:tcPr>
            <w:tcW w:w="302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1.加强检查，保障措施落实。</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2.严格危险作业审批管理。</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3.禁止抛掷物品，严禁高处抛物。</w:t>
            </w:r>
          </w:p>
        </w:tc>
        <w:tc>
          <w:tcPr>
            <w:tcW w:w="3960" w:type="dxa"/>
            <w:shd w:val="clear" w:color="auto" w:fill="auto"/>
            <w:vAlign w:val="center"/>
          </w:tcPr>
          <w:p>
            <w:pPr>
              <w:widowControl/>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7"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6</w:t>
            </w:r>
          </w:p>
        </w:tc>
        <w:tc>
          <w:tcPr>
            <w:tcW w:w="1022"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通用设备制造业、专用设备制造业、汽车制造业</w:t>
            </w:r>
          </w:p>
        </w:tc>
        <w:tc>
          <w:tcPr>
            <w:tcW w:w="1871"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柴油机测试台车、测功器</w:t>
            </w:r>
          </w:p>
        </w:tc>
        <w:tc>
          <w:tcPr>
            <w:tcW w:w="187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1.柴油机测试飞车，发生零部件飞出，导致物体打击。</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2.测功器连接轴断裂，相关部位飞出，导致物体打击。</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1.试车间防护门加装联锁保护，人员进入，柴油机、测试设备自动停止。</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2.连接轴旋转部位加装防护罩，防止连接轴断裂时飞出砸伤人员。</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3.安装断油、断电切断装置，紧急情况下能及时停机。</w:t>
            </w:r>
          </w:p>
        </w:tc>
        <w:tc>
          <w:tcPr>
            <w:tcW w:w="302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1.制定作业文件，柴油机测试期间严禁人员进入，需要进入时须降低负荷，恢复怠速状态。</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2.张贴警示标识，警示人员注意防护及远离旋转部位。</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3.制定简单易于操作的安全操作规程，明确操作标准，监督员工执行。</w:t>
            </w:r>
          </w:p>
        </w:tc>
        <w:tc>
          <w:tcPr>
            <w:tcW w:w="3960"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object>
                <v:shape id="_x0000_i1041" o:spt="75" alt="" type="#_x0000_t75" style="height:127.75pt;width:149.4pt;" o:ole="t" filled="f" o:preferrelative="t" stroked="f" coordsize="21600,21600">
                  <v:path/>
                  <v:fill on="f" focussize="0,0"/>
                  <v:stroke on="f"/>
                  <v:imagedata r:id="rId56" o:title=""/>
                  <o:lock v:ext="edit" aspectratio="t"/>
                  <w10:wrap type="none"/>
                  <w10:anchorlock/>
                </v:shape>
                <o:OLEObject Type="Embed" ProgID="PBrush" ShapeID="_x0000_i1041" DrawAspect="Content" ObjectID="_1468075741" r:id="rId55">
                  <o:LockedField>false</o:LockedField>
                </o:OLEObject>
              </w:object>
            </w:r>
          </w:p>
        </w:tc>
      </w:tr>
    </w:tbl>
    <w:p>
      <w:pPr>
        <w:rPr>
          <w:rFonts w:ascii="宋体" w:hAnsi="宋体" w:eastAsia="宋体"/>
          <w:color w:val="auto"/>
          <w:sz w:val="28"/>
          <w:szCs w:val="32"/>
        </w:rPr>
      </w:pPr>
    </w:p>
    <w:p>
      <w:pPr>
        <w:rPr>
          <w:rFonts w:ascii="宋体" w:hAnsi="宋体" w:eastAsia="宋体"/>
          <w:color w:val="auto"/>
          <w:sz w:val="28"/>
          <w:szCs w:val="32"/>
        </w:rPr>
      </w:pPr>
    </w:p>
    <w:p>
      <w:pPr>
        <w:rPr>
          <w:rFonts w:ascii="宋体" w:hAnsi="宋体" w:eastAsia="宋体"/>
          <w:color w:val="auto"/>
          <w:sz w:val="28"/>
          <w:szCs w:val="32"/>
        </w:rPr>
      </w:pPr>
      <w:r>
        <w:rPr>
          <w:rFonts w:ascii="宋体" w:hAnsi="宋体" w:eastAsia="宋体"/>
          <w:color w:val="auto"/>
          <w:sz w:val="28"/>
          <w:szCs w:val="32"/>
        </w:rPr>
        <w:br w:type="page"/>
      </w:r>
    </w:p>
    <w:p>
      <w:pP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eastAsia="zh-CN"/>
        </w:rPr>
        <w:t>6</w:t>
      </w:r>
      <w:r>
        <w:rPr>
          <w:rFonts w:hint="eastAsia" w:ascii="楷体_GB2312" w:hAnsi="楷体_GB2312" w:eastAsia="楷体_GB2312" w:cs="楷体_GB2312"/>
          <w:color w:val="auto"/>
          <w:sz w:val="28"/>
          <w:szCs w:val="32"/>
        </w:rPr>
        <w:t>.轻工行业典型物体打击事故管控措施</w:t>
      </w:r>
    </w:p>
    <w:tbl>
      <w:tblPr>
        <w:tblStyle w:val="4"/>
        <w:tblW w:w="14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953"/>
        <w:gridCol w:w="2064"/>
        <w:gridCol w:w="1874"/>
        <w:gridCol w:w="2592"/>
        <w:gridCol w:w="3015"/>
        <w:gridCol w:w="3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1"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序号</w:t>
            </w:r>
          </w:p>
        </w:tc>
        <w:tc>
          <w:tcPr>
            <w:tcW w:w="953"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中类行业名称</w:t>
            </w:r>
          </w:p>
        </w:tc>
        <w:tc>
          <w:tcPr>
            <w:tcW w:w="2064"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典型设备设施或作业活动举例</w:t>
            </w:r>
          </w:p>
        </w:tc>
        <w:tc>
          <w:tcPr>
            <w:tcW w:w="1874"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事故原因</w:t>
            </w:r>
          </w:p>
        </w:tc>
        <w:tc>
          <w:tcPr>
            <w:tcW w:w="2592"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典型工程技术措施</w:t>
            </w:r>
          </w:p>
        </w:tc>
        <w:tc>
          <w:tcPr>
            <w:tcW w:w="3015"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典型的管理措施</w:t>
            </w:r>
          </w:p>
        </w:tc>
        <w:tc>
          <w:tcPr>
            <w:tcW w:w="3965"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好的做法示例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w:t>
            </w:r>
          </w:p>
        </w:tc>
        <w:tc>
          <w:tcPr>
            <w:tcW w:w="953"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家具制造业</w:t>
            </w:r>
          </w:p>
        </w:tc>
        <w:tc>
          <w:tcPr>
            <w:tcW w:w="206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带锯机等木材加工机械</w:t>
            </w:r>
          </w:p>
        </w:tc>
        <w:tc>
          <w:tcPr>
            <w:tcW w:w="187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1.设备运行期间带锯发生断裂且防护罩失效，带锯条弹起伤人。</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2.设备运行期间木料中夹杂铁钉等异物。</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3.在续料期间设备故障，造成木料或下脚料弹起。</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4.物料或木料在续料期间或搬运前发生坠落伤人。</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1.加设带锯防护罩或防止反弹装置。</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2.多人作业时有专人指挥、统一行动、相互配合。</w:t>
            </w:r>
          </w:p>
        </w:tc>
        <w:tc>
          <w:tcPr>
            <w:tcW w:w="3015"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1.按规定对起重设备定期检查、检验；对设备定期维护保养和隐患排查。</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2.吊装作业区设置“当心吊物”安全警示标志。定期检查、维护保养起重吊索具；严格执行“十不吊”。</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3.正确佩戴安全帽、防护目镜等防打击劳保用品。</w:t>
            </w:r>
          </w:p>
        </w:tc>
        <w:tc>
          <w:tcPr>
            <w:tcW w:w="3965"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drawing>
                <wp:inline distT="0" distB="0" distL="0" distR="0">
                  <wp:extent cx="2319020" cy="168084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7"/>
                          <a:srcRect/>
                          <a:stretch>
                            <a:fillRect/>
                          </a:stretch>
                        </pic:blipFill>
                        <pic:spPr>
                          <a:xfrm>
                            <a:off x="0" y="0"/>
                            <a:ext cx="2333484" cy="169132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1"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2</w:t>
            </w:r>
          </w:p>
        </w:tc>
        <w:tc>
          <w:tcPr>
            <w:tcW w:w="953"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皮革鞣制</w:t>
            </w:r>
          </w:p>
        </w:tc>
        <w:tc>
          <w:tcPr>
            <w:tcW w:w="206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具有液压系统的机器设备</w:t>
            </w:r>
          </w:p>
        </w:tc>
        <w:tc>
          <w:tcPr>
            <w:tcW w:w="1874" w:type="dxa"/>
            <w:shd w:val="clear" w:color="auto" w:fill="auto"/>
            <w:vAlign w:val="center"/>
          </w:tcPr>
          <w:p>
            <w:pPr>
              <w:widowControl/>
              <w:rPr>
                <w:rFonts w:hint="eastAsia" w:ascii="仿宋" w:hAnsi="仿宋" w:eastAsia="仿宋" w:cs="仿宋"/>
                <w:color w:val="auto"/>
                <w:sz w:val="21"/>
                <w:szCs w:val="21"/>
              </w:rPr>
            </w:pPr>
            <w:r>
              <w:rPr>
                <w:rFonts w:hint="eastAsia" w:ascii="仿宋" w:hAnsi="仿宋" w:eastAsia="仿宋" w:cs="仿宋"/>
                <w:color w:val="auto"/>
                <w:sz w:val="21"/>
                <w:szCs w:val="21"/>
              </w:rPr>
              <w:t>承压部件压力过大导致部件超过承载压力。</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1.应有过载保护装置，安全阀、溢流阀及管路等应定期校验或清洗。</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2.最大油压不得超过系统内使用元件的安全工作压力。</w:t>
            </w:r>
          </w:p>
        </w:tc>
        <w:tc>
          <w:tcPr>
            <w:tcW w:w="3015"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所使用的压力表及显示装置应清晰、灵敏、准确、可靠，并定期检验。</w:t>
            </w:r>
          </w:p>
        </w:tc>
        <w:tc>
          <w:tcPr>
            <w:tcW w:w="3965" w:type="dxa"/>
            <w:shd w:val="clear" w:color="auto" w:fill="auto"/>
            <w:vAlign w:val="center"/>
          </w:tcPr>
          <w:p>
            <w:pPr>
              <w:widowControl/>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1"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3</w:t>
            </w:r>
          </w:p>
        </w:tc>
        <w:tc>
          <w:tcPr>
            <w:tcW w:w="953"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农副食品加工</w:t>
            </w:r>
          </w:p>
        </w:tc>
        <w:tc>
          <w:tcPr>
            <w:tcW w:w="206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肉制品加工、蔬菜加工、水果和坚果食品加工设备</w:t>
            </w:r>
          </w:p>
        </w:tc>
        <w:tc>
          <w:tcPr>
            <w:tcW w:w="187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生产加工设备配套安全设施设置不足或存在缺陷。</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大型成套产品的通道、扶梯应设置安全扶手、护栏及防滑踏板或其他安全设施。</w:t>
            </w:r>
          </w:p>
        </w:tc>
        <w:tc>
          <w:tcPr>
            <w:tcW w:w="3015"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应具有标明转向、操纵、润滑、油位、安全等标志，安全色及安全标志按GB2893、GB2894的规定设置。</w:t>
            </w:r>
          </w:p>
        </w:tc>
        <w:tc>
          <w:tcPr>
            <w:tcW w:w="3965" w:type="dxa"/>
            <w:shd w:val="clear" w:color="auto" w:fill="auto"/>
            <w:vAlign w:val="center"/>
          </w:tcPr>
          <w:p>
            <w:pPr>
              <w:widowControl/>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1" w:type="dxa"/>
            <w:shd w:val="clear" w:color="auto" w:fill="auto"/>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4</w:t>
            </w:r>
          </w:p>
        </w:tc>
        <w:tc>
          <w:tcPr>
            <w:tcW w:w="953"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食品制造业</w:t>
            </w:r>
          </w:p>
        </w:tc>
        <w:tc>
          <w:tcPr>
            <w:tcW w:w="206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食品加工设备梯台</w:t>
            </w:r>
          </w:p>
        </w:tc>
        <w:tc>
          <w:tcPr>
            <w:tcW w:w="187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1.设备防护措施设置不全或失效。</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2.员工操作过程误操作导致物体打击。</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1.备有梯子和操作平台的设备，台面及梯子踏板材料、构造应具有防滑性能，与塔壁、罐壁平行的梯子应设置等距踏条，踏条的安装、固定、间距应满足《食品机械安全卫生》GB16798-1997的相关要求。</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2.梯子在高度3米以上部位设置安全护栏，操作平台设置护栏。护栏高度不低于1.05m。</w:t>
            </w:r>
          </w:p>
        </w:tc>
        <w:tc>
          <w:tcPr>
            <w:tcW w:w="3015"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1.加强检查，保障措施落实。</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2.禁止抛掷物品，严禁高处抛物。</w:t>
            </w:r>
          </w:p>
        </w:tc>
        <w:tc>
          <w:tcPr>
            <w:tcW w:w="3965" w:type="dxa"/>
            <w:shd w:val="clear" w:color="auto" w:fill="auto"/>
            <w:vAlign w:val="center"/>
          </w:tcPr>
          <w:p>
            <w:pPr>
              <w:widowControl/>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5</w:t>
            </w:r>
          </w:p>
        </w:tc>
        <w:tc>
          <w:tcPr>
            <w:tcW w:w="953"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印刷和记录媒介复制业</w:t>
            </w:r>
          </w:p>
        </w:tc>
        <w:tc>
          <w:tcPr>
            <w:tcW w:w="206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印刷、上光单元</w:t>
            </w:r>
          </w:p>
        </w:tc>
        <w:tc>
          <w:tcPr>
            <w:tcW w:w="187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1.物料堆放区域防护设施不全。</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2.操作人员未经安全教育培训或违反操作规程、误操作。</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1.每天装、卸起重负荷至少为25kg的机器部件的地方应配备适当的提升装置。</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2.高度超过1.5m、间隔超过70mm的平台，应配备挡脚板作为最低保护措施。</w:t>
            </w:r>
          </w:p>
        </w:tc>
        <w:tc>
          <w:tcPr>
            <w:tcW w:w="3015"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较低位置的机器部件，不利的身体姿势造成难以抬起机器部件时，应使用提升装置。</w:t>
            </w:r>
          </w:p>
        </w:tc>
        <w:tc>
          <w:tcPr>
            <w:tcW w:w="3965" w:type="dxa"/>
            <w:shd w:val="clear" w:color="auto" w:fill="auto"/>
            <w:vAlign w:val="center"/>
          </w:tcPr>
          <w:p>
            <w:pPr>
              <w:widowControl/>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6</w:t>
            </w:r>
          </w:p>
        </w:tc>
        <w:tc>
          <w:tcPr>
            <w:tcW w:w="953"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印刷和记录媒介复制业</w:t>
            </w:r>
          </w:p>
        </w:tc>
        <w:tc>
          <w:tcPr>
            <w:tcW w:w="206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纸堆翻转、升降装置</w:t>
            </w:r>
          </w:p>
        </w:tc>
        <w:tc>
          <w:tcPr>
            <w:tcW w:w="187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设备安全防护装置缺失或故障。</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1.纸堆翻转装置的液压和气动提升装置上，提升缸上应设置一个安全止回阀。</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2.操作者控制翻转装置的每个位置等应安装急停按钮。</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3.在产品幅面大于2.5㎡的纸堆升降装置上，托纸板以下区域应设置防护罩或电敏防护装置进行防护。</w:t>
            </w:r>
          </w:p>
        </w:tc>
        <w:tc>
          <w:tcPr>
            <w:tcW w:w="3015"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1.纸堆在垂直或水平位置上时，提升装置才能开启。</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2.提升装置最大载荷量应满足静态载荷的1.25倍，正常操作条件下最大载荷量应能达到1.1倍动态测试。</w:t>
            </w:r>
          </w:p>
        </w:tc>
        <w:tc>
          <w:tcPr>
            <w:tcW w:w="3965" w:type="dxa"/>
            <w:shd w:val="clear" w:color="auto" w:fill="auto"/>
            <w:vAlign w:val="center"/>
          </w:tcPr>
          <w:p>
            <w:pPr>
              <w:widowControl/>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3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7</w:t>
            </w:r>
          </w:p>
        </w:tc>
        <w:tc>
          <w:tcPr>
            <w:tcW w:w="953"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造纸和纸制品业</w:t>
            </w:r>
          </w:p>
        </w:tc>
        <w:tc>
          <w:tcPr>
            <w:tcW w:w="206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纸浆造纸设备（原木放料斗）</w:t>
            </w:r>
          </w:p>
        </w:tc>
        <w:tc>
          <w:tcPr>
            <w:tcW w:w="187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原木放料斗超量导致物料外逸导致物体打击。</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1.原木放料斗应设置限位报警装置。</w:t>
            </w:r>
          </w:p>
        </w:tc>
        <w:tc>
          <w:tcPr>
            <w:tcW w:w="3015"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1.正确佩戴安全帽、防护目镜等防打击劳保用品。</w:t>
            </w:r>
          </w:p>
        </w:tc>
        <w:tc>
          <w:tcPr>
            <w:tcW w:w="3965" w:type="dxa"/>
            <w:shd w:val="clear" w:color="auto" w:fill="auto"/>
            <w:vAlign w:val="center"/>
          </w:tcPr>
          <w:p>
            <w:pPr>
              <w:widowControl/>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8</w:t>
            </w:r>
          </w:p>
        </w:tc>
        <w:tc>
          <w:tcPr>
            <w:tcW w:w="953"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造纸和纸制品业</w:t>
            </w:r>
          </w:p>
        </w:tc>
        <w:tc>
          <w:tcPr>
            <w:tcW w:w="206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纸张加工机械（上料、提升设备）</w:t>
            </w:r>
          </w:p>
        </w:tc>
        <w:tc>
          <w:tcPr>
            <w:tcW w:w="187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操作人员未经安全教育培训或违反操作规程、误操作导致物体打击。</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为防止开卷传动皮带意外脱落,应在提升臂上配备皮带安全调节检测装置。</w:t>
            </w:r>
          </w:p>
        </w:tc>
        <w:tc>
          <w:tcPr>
            <w:tcW w:w="3015"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1.加强员工教育培训。</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2.加强员工行为观察。</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3.正确佩戴安全帽、防护目镜等防打击劳保用品。</w:t>
            </w:r>
          </w:p>
        </w:tc>
        <w:tc>
          <w:tcPr>
            <w:tcW w:w="3965" w:type="dxa"/>
            <w:shd w:val="clear" w:color="auto" w:fill="auto"/>
            <w:vAlign w:val="center"/>
          </w:tcPr>
          <w:p>
            <w:pPr>
              <w:widowControl/>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9</w:t>
            </w:r>
          </w:p>
        </w:tc>
        <w:tc>
          <w:tcPr>
            <w:tcW w:w="953"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造纸和纸制品业</w:t>
            </w:r>
          </w:p>
        </w:tc>
        <w:tc>
          <w:tcPr>
            <w:tcW w:w="206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瓦楞纸机械（活动压台、传动设备、支撑设备）</w:t>
            </w:r>
          </w:p>
        </w:tc>
        <w:tc>
          <w:tcPr>
            <w:tcW w:w="187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操作人员未经安全教育培训或违反操作规程、误操作导致物体打击。</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1.采用安全阀控制液压和气缸进行安全防护，防止通过无动力驱动的移动或因重力而下落导致事故。</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2.开卷卷轴应被安全的支撑。对于悬臂式卷轴,应配备机械设置(例如：开口销)避免辊子坠落。</w:t>
            </w:r>
          </w:p>
        </w:tc>
        <w:tc>
          <w:tcPr>
            <w:tcW w:w="3015"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当防护装置打开时,不准许更换工具(例如模切装置或断开部分下方部件)或移动部件的位置。</w:t>
            </w:r>
          </w:p>
        </w:tc>
        <w:tc>
          <w:tcPr>
            <w:tcW w:w="3965" w:type="dxa"/>
            <w:shd w:val="clear" w:color="auto" w:fill="auto"/>
            <w:vAlign w:val="center"/>
          </w:tcPr>
          <w:p>
            <w:pPr>
              <w:widowControl/>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10</w:t>
            </w:r>
          </w:p>
        </w:tc>
        <w:tc>
          <w:tcPr>
            <w:tcW w:w="953"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橡胶和塑料制品业</w:t>
            </w:r>
          </w:p>
        </w:tc>
        <w:tc>
          <w:tcPr>
            <w:tcW w:w="206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橡胶制品机械（物料提升和输送机械、梯台等）</w:t>
            </w:r>
          </w:p>
        </w:tc>
        <w:tc>
          <w:tcPr>
            <w:tcW w:w="187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1.设备防护设施缺失或设置不足、故障。</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2.操作人员需经常或规律的进入危险区域，安全防护设施不全导致物体打击。</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1.垂直运输不应采用以卷扬机或电动葫芦为驱动装置的简易吊笼或简易电梯。</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2.桁架机械手、轻型悬挂输送机等用于空中输送设备，设备运行下方应设置安全护网。</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3.橡胶工厂楼梯、设备安装或操作平台、地坑、池和孔洞，应设置防错位盖板或防护栏杆。楼梯、平台均应采取防滑、防坠落措施。</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4.烟囱、冷却塔等设施的人孔处，应设置检修平台及活动栏杆。</w:t>
            </w:r>
          </w:p>
        </w:tc>
        <w:tc>
          <w:tcPr>
            <w:tcW w:w="3015"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1.设置显著的安全警示标识。</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2.制定简单易行的安全操作要点及应急处置办法，并监督员工执行。</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3.定期维护保养设备设施及检查防护设施是否有效。</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4.正确佩戴安全帽、防护目镜等防打击劳保用品。</w:t>
            </w:r>
          </w:p>
        </w:tc>
        <w:tc>
          <w:tcPr>
            <w:tcW w:w="3965" w:type="dxa"/>
            <w:shd w:val="clear" w:color="auto" w:fill="auto"/>
            <w:vAlign w:val="center"/>
          </w:tcPr>
          <w:p>
            <w:pPr>
              <w:widowControl/>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11</w:t>
            </w:r>
          </w:p>
        </w:tc>
        <w:tc>
          <w:tcPr>
            <w:tcW w:w="953"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橡胶和塑料制品业</w:t>
            </w:r>
          </w:p>
        </w:tc>
        <w:tc>
          <w:tcPr>
            <w:tcW w:w="206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塑料制品企业生产设备（物料提升和输送机械、梯台等）</w:t>
            </w:r>
          </w:p>
        </w:tc>
        <w:tc>
          <w:tcPr>
            <w:tcW w:w="187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1.设备防护设施缺失或设置不足、故障。</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2.操作人员需经常或规律的进入危险区域，安全防护设施不全导致物体打击。</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1.升降口和走台应设置围栏。</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2.平台、架空人行通道、坑、池、升降口、安装孔等有可能发生物体打击、坠落的地点和场所，设置栏杆、围栏或盖板。</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3.操作人员进行作业、维护、调节的工作位置在坠落基准面2m以上的，设置供操作的平台和防坠落栏杆、安全圈和防护板。直梯、斜梯、栏杆、平台的设置应符合GB4053的要求。</w:t>
            </w:r>
          </w:p>
        </w:tc>
        <w:tc>
          <w:tcPr>
            <w:tcW w:w="3015"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物料的运输宜采用机械化方法，人工搬运时应符合《体力搬运重量限制》GB12330的要求。</w:t>
            </w:r>
          </w:p>
        </w:tc>
        <w:tc>
          <w:tcPr>
            <w:tcW w:w="3965" w:type="dxa"/>
            <w:shd w:val="clear" w:color="auto" w:fill="auto"/>
            <w:vAlign w:val="center"/>
          </w:tcPr>
          <w:p>
            <w:pPr>
              <w:widowControl/>
              <w:jc w:val="center"/>
              <w:rPr>
                <w:rFonts w:hint="eastAsia" w:ascii="仿宋" w:hAnsi="仿宋" w:eastAsia="仿宋" w:cs="仿宋"/>
                <w:color w:val="auto"/>
                <w:sz w:val="21"/>
                <w:szCs w:val="21"/>
              </w:rPr>
            </w:pPr>
          </w:p>
        </w:tc>
      </w:tr>
    </w:tbl>
    <w:p>
      <w:pPr>
        <w:rPr>
          <w:rFonts w:ascii="宋体" w:hAnsi="宋体" w:eastAsia="宋体"/>
          <w:color w:val="auto"/>
          <w:sz w:val="28"/>
          <w:szCs w:val="32"/>
        </w:rPr>
      </w:pPr>
    </w:p>
    <w:p>
      <w:pPr>
        <w:rPr>
          <w:rFonts w:ascii="宋体" w:hAnsi="宋体" w:eastAsia="宋体"/>
          <w:color w:val="auto"/>
          <w:sz w:val="28"/>
          <w:szCs w:val="32"/>
        </w:rPr>
      </w:pPr>
      <w:r>
        <w:rPr>
          <w:rFonts w:ascii="宋体" w:hAnsi="宋体" w:eastAsia="宋体"/>
          <w:color w:val="auto"/>
          <w:sz w:val="28"/>
          <w:szCs w:val="32"/>
        </w:rPr>
        <w:br w:type="page"/>
      </w:r>
    </w:p>
    <w:p>
      <w:pP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7.纺织行业典型物体打击事故管控措施</w:t>
      </w:r>
    </w:p>
    <w:tbl>
      <w:tblPr>
        <w:tblStyle w:val="4"/>
        <w:tblW w:w="14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953"/>
        <w:gridCol w:w="2064"/>
        <w:gridCol w:w="1874"/>
        <w:gridCol w:w="2592"/>
        <w:gridCol w:w="3015"/>
        <w:gridCol w:w="3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1"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序号</w:t>
            </w:r>
          </w:p>
        </w:tc>
        <w:tc>
          <w:tcPr>
            <w:tcW w:w="953"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中类行业名称</w:t>
            </w:r>
          </w:p>
        </w:tc>
        <w:tc>
          <w:tcPr>
            <w:tcW w:w="2064"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典型设备设施或作业活动举例</w:t>
            </w:r>
          </w:p>
        </w:tc>
        <w:tc>
          <w:tcPr>
            <w:tcW w:w="1874"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事故原因</w:t>
            </w:r>
          </w:p>
        </w:tc>
        <w:tc>
          <w:tcPr>
            <w:tcW w:w="2592"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典型工程技术措施</w:t>
            </w:r>
          </w:p>
        </w:tc>
        <w:tc>
          <w:tcPr>
            <w:tcW w:w="3015"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典型的管理措施</w:t>
            </w:r>
          </w:p>
        </w:tc>
        <w:tc>
          <w:tcPr>
            <w:tcW w:w="3965" w:type="dxa"/>
            <w:shd w:val="clear" w:color="auto" w:fill="auto"/>
            <w:vAlign w:val="center"/>
          </w:tcPr>
          <w:p>
            <w:pPr>
              <w:widowControl/>
              <w:jc w:val="center"/>
              <w:rPr>
                <w:rFonts w:hint="eastAsia" w:ascii="黑体" w:hAnsi="黑体" w:eastAsia="黑体" w:cs="黑体"/>
                <w:color w:val="auto"/>
                <w:sz w:val="21"/>
                <w:szCs w:val="21"/>
              </w:rPr>
            </w:pPr>
            <w:r>
              <w:rPr>
                <w:rFonts w:hint="eastAsia" w:ascii="黑体" w:hAnsi="黑体" w:eastAsia="黑体" w:cs="黑体"/>
                <w:color w:val="auto"/>
                <w:sz w:val="21"/>
                <w:szCs w:val="21"/>
              </w:rPr>
              <w:t>好的做法示例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w:t>
            </w:r>
          </w:p>
        </w:tc>
        <w:tc>
          <w:tcPr>
            <w:tcW w:w="953"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棉纺织及印染精加工</w:t>
            </w:r>
          </w:p>
        </w:tc>
        <w:tc>
          <w:tcPr>
            <w:tcW w:w="206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染色（高温染罐）</w:t>
            </w:r>
          </w:p>
        </w:tc>
        <w:tc>
          <w:tcPr>
            <w:tcW w:w="187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染罐未完全泄压情况下开启。</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加强设备巡查、检查。</w:t>
            </w:r>
          </w:p>
        </w:tc>
        <w:tc>
          <w:tcPr>
            <w:tcW w:w="3015"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1.特种作业人员持证上岗。</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2.制定并严格执行特种设备安全管理制度和操作规程。</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3.特种设备定期检验检测。</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4.定期组织对设备进行安全检查并做好记录。</w:t>
            </w:r>
          </w:p>
        </w:tc>
        <w:tc>
          <w:tcPr>
            <w:tcW w:w="3965" w:type="dxa"/>
            <w:shd w:val="clear" w:color="auto" w:fill="auto"/>
            <w:vAlign w:val="center"/>
          </w:tcPr>
          <w:p>
            <w:pPr>
              <w:widowControl/>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1"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w:t>
            </w:r>
          </w:p>
        </w:tc>
        <w:tc>
          <w:tcPr>
            <w:tcW w:w="953"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棉纺织及印染精加工</w:t>
            </w:r>
          </w:p>
        </w:tc>
        <w:tc>
          <w:tcPr>
            <w:tcW w:w="206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装卸作业</w:t>
            </w:r>
          </w:p>
        </w:tc>
        <w:tc>
          <w:tcPr>
            <w:tcW w:w="1874"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堆垛或车辆上部进行高处作业未采取防护措施。</w:t>
            </w:r>
          </w:p>
        </w:tc>
        <w:tc>
          <w:tcPr>
            <w:tcW w:w="2592"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配备、正确使用合适的防护装备，例如安全带及其挂点或地面防护软垫等。</w:t>
            </w:r>
          </w:p>
        </w:tc>
        <w:tc>
          <w:tcPr>
            <w:tcW w:w="3015" w:type="dxa"/>
            <w:shd w:val="clear" w:color="auto" w:fill="auto"/>
            <w:vAlign w:val="center"/>
          </w:tcPr>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1.建立并严格执行相应的规章制度和操作规程。</w:t>
            </w:r>
          </w:p>
          <w:p>
            <w:pPr>
              <w:widowControl/>
              <w:jc w:val="left"/>
              <w:rPr>
                <w:rFonts w:hint="eastAsia" w:ascii="仿宋" w:hAnsi="仿宋" w:eastAsia="仿宋" w:cs="仿宋"/>
                <w:color w:val="auto"/>
                <w:sz w:val="21"/>
                <w:szCs w:val="21"/>
              </w:rPr>
            </w:pPr>
            <w:r>
              <w:rPr>
                <w:rFonts w:hint="eastAsia" w:ascii="仿宋" w:hAnsi="仿宋" w:eastAsia="仿宋" w:cs="仿宋"/>
                <w:color w:val="auto"/>
                <w:sz w:val="21"/>
                <w:szCs w:val="21"/>
              </w:rPr>
              <w:t>2.对操作人员加强培训。</w:t>
            </w:r>
          </w:p>
        </w:tc>
        <w:tc>
          <w:tcPr>
            <w:tcW w:w="3965" w:type="dxa"/>
            <w:shd w:val="clear" w:color="auto" w:fill="auto"/>
            <w:vAlign w:val="center"/>
          </w:tcPr>
          <w:p>
            <w:pPr>
              <w:widowControl/>
              <w:jc w:val="center"/>
              <w:rPr>
                <w:rFonts w:hint="eastAsia" w:ascii="仿宋" w:hAnsi="仿宋" w:eastAsia="仿宋" w:cs="仿宋"/>
                <w:color w:val="auto"/>
                <w:sz w:val="21"/>
                <w:szCs w:val="21"/>
              </w:rPr>
            </w:pPr>
          </w:p>
        </w:tc>
      </w:tr>
    </w:tbl>
    <w:p>
      <w:pPr>
        <w:rPr>
          <w:rFonts w:hint="eastAsia" w:ascii="宋体" w:hAnsi="宋体" w:eastAsia="宋体"/>
          <w:color w:val="auto"/>
          <w:sz w:val="28"/>
          <w:szCs w:val="32"/>
        </w:rPr>
      </w:pPr>
    </w:p>
    <w:sectPr>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UzNTY5ODQ4YzQwYTcwZmNjY2Y5ZDJiZjcyZjM3NGQifQ=="/>
  </w:docVars>
  <w:rsids>
    <w:rsidRoot w:val="00981F6C"/>
    <w:rsid w:val="00002B1D"/>
    <w:rsid w:val="0002621B"/>
    <w:rsid w:val="000819AC"/>
    <w:rsid w:val="00097810"/>
    <w:rsid w:val="000C34A8"/>
    <w:rsid w:val="000E0AA4"/>
    <w:rsid w:val="000F2B5D"/>
    <w:rsid w:val="000F4406"/>
    <w:rsid w:val="000F55BE"/>
    <w:rsid w:val="001172AD"/>
    <w:rsid w:val="001710F0"/>
    <w:rsid w:val="00174B5E"/>
    <w:rsid w:val="001834F2"/>
    <w:rsid w:val="001D1C63"/>
    <w:rsid w:val="002112F9"/>
    <w:rsid w:val="00221EB6"/>
    <w:rsid w:val="002477A2"/>
    <w:rsid w:val="00260E88"/>
    <w:rsid w:val="002A7803"/>
    <w:rsid w:val="003016F5"/>
    <w:rsid w:val="003363AE"/>
    <w:rsid w:val="00391840"/>
    <w:rsid w:val="003B35B2"/>
    <w:rsid w:val="003E054E"/>
    <w:rsid w:val="00433C3D"/>
    <w:rsid w:val="004407CC"/>
    <w:rsid w:val="00440DDB"/>
    <w:rsid w:val="004F148E"/>
    <w:rsid w:val="00515BA4"/>
    <w:rsid w:val="00517515"/>
    <w:rsid w:val="005345E7"/>
    <w:rsid w:val="00567C9C"/>
    <w:rsid w:val="005B1E54"/>
    <w:rsid w:val="005C6A4A"/>
    <w:rsid w:val="005F4959"/>
    <w:rsid w:val="006543B2"/>
    <w:rsid w:val="00662E58"/>
    <w:rsid w:val="006A5256"/>
    <w:rsid w:val="006B25E8"/>
    <w:rsid w:val="006D2CF7"/>
    <w:rsid w:val="006E4CF0"/>
    <w:rsid w:val="00730020"/>
    <w:rsid w:val="00737028"/>
    <w:rsid w:val="0078347A"/>
    <w:rsid w:val="0078431F"/>
    <w:rsid w:val="00870933"/>
    <w:rsid w:val="00872C36"/>
    <w:rsid w:val="0088671C"/>
    <w:rsid w:val="008C097F"/>
    <w:rsid w:val="008E2E44"/>
    <w:rsid w:val="008F353A"/>
    <w:rsid w:val="009062AC"/>
    <w:rsid w:val="00931569"/>
    <w:rsid w:val="00954AD5"/>
    <w:rsid w:val="00981F6C"/>
    <w:rsid w:val="00982421"/>
    <w:rsid w:val="00A329EF"/>
    <w:rsid w:val="00A42FA3"/>
    <w:rsid w:val="00AB211E"/>
    <w:rsid w:val="00AB22EF"/>
    <w:rsid w:val="00AC292B"/>
    <w:rsid w:val="00AD118B"/>
    <w:rsid w:val="00AF0E5A"/>
    <w:rsid w:val="00B02778"/>
    <w:rsid w:val="00B15E23"/>
    <w:rsid w:val="00B64AB3"/>
    <w:rsid w:val="00B66326"/>
    <w:rsid w:val="00BD055B"/>
    <w:rsid w:val="00BD0EF7"/>
    <w:rsid w:val="00BD159C"/>
    <w:rsid w:val="00BF400A"/>
    <w:rsid w:val="00C2670F"/>
    <w:rsid w:val="00C7579A"/>
    <w:rsid w:val="00CB7F07"/>
    <w:rsid w:val="00CD634D"/>
    <w:rsid w:val="00CE085D"/>
    <w:rsid w:val="00D12E23"/>
    <w:rsid w:val="00DD22C8"/>
    <w:rsid w:val="00DD3CD0"/>
    <w:rsid w:val="00E0598E"/>
    <w:rsid w:val="00F37FB3"/>
    <w:rsid w:val="00F40E57"/>
    <w:rsid w:val="00F4680A"/>
    <w:rsid w:val="00F54524"/>
    <w:rsid w:val="00F634B5"/>
    <w:rsid w:val="00FD3180"/>
    <w:rsid w:val="00FD479C"/>
    <w:rsid w:val="00FF4B31"/>
    <w:rsid w:val="02816679"/>
    <w:rsid w:val="0D5D5740"/>
    <w:rsid w:val="162D5CB0"/>
    <w:rsid w:val="284321AC"/>
    <w:rsid w:val="2D1B0DD8"/>
    <w:rsid w:val="3E1A60EE"/>
    <w:rsid w:val="42DA5063"/>
    <w:rsid w:val="47290367"/>
    <w:rsid w:val="5D6CC75A"/>
    <w:rsid w:val="5E423BAE"/>
    <w:rsid w:val="6C884CB0"/>
    <w:rsid w:val="6E802BF7"/>
    <w:rsid w:val="6FBB6611"/>
    <w:rsid w:val="71CD7E34"/>
    <w:rsid w:val="793340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oleObject" Target="embeddings/oleObject17.bin"/><Relationship Id="rId54" Type="http://schemas.openxmlformats.org/officeDocument/2006/relationships/image" Target="media/image35.png"/><Relationship Id="rId53" Type="http://schemas.openxmlformats.org/officeDocument/2006/relationships/oleObject" Target="embeddings/oleObject16.bin"/><Relationship Id="rId52" Type="http://schemas.openxmlformats.org/officeDocument/2006/relationships/image" Target="media/image34.png"/><Relationship Id="rId51" Type="http://schemas.openxmlformats.org/officeDocument/2006/relationships/oleObject" Target="embeddings/oleObject15.bin"/><Relationship Id="rId50" Type="http://schemas.openxmlformats.org/officeDocument/2006/relationships/image" Target="media/image33.png"/><Relationship Id="rId5" Type="http://schemas.openxmlformats.org/officeDocument/2006/relationships/image" Target="media/image2.png"/><Relationship Id="rId49" Type="http://schemas.openxmlformats.org/officeDocument/2006/relationships/oleObject" Target="embeddings/oleObject14.bin"/><Relationship Id="rId48" Type="http://schemas.openxmlformats.org/officeDocument/2006/relationships/image" Target="media/image32.png"/><Relationship Id="rId47" Type="http://schemas.openxmlformats.org/officeDocument/2006/relationships/oleObject" Target="embeddings/oleObject13.bin"/><Relationship Id="rId46" Type="http://schemas.openxmlformats.org/officeDocument/2006/relationships/image" Target="media/image31.png"/><Relationship Id="rId45" Type="http://schemas.openxmlformats.org/officeDocument/2006/relationships/oleObject" Target="embeddings/oleObject12.bin"/><Relationship Id="rId44" Type="http://schemas.openxmlformats.org/officeDocument/2006/relationships/image" Target="media/image30.png"/><Relationship Id="rId43" Type="http://schemas.openxmlformats.org/officeDocument/2006/relationships/oleObject" Target="embeddings/oleObject11.bin"/><Relationship Id="rId42" Type="http://schemas.openxmlformats.org/officeDocument/2006/relationships/image" Target="media/image29.png"/><Relationship Id="rId41" Type="http://schemas.openxmlformats.org/officeDocument/2006/relationships/oleObject" Target="embeddings/oleObject10.bin"/><Relationship Id="rId40" Type="http://schemas.openxmlformats.org/officeDocument/2006/relationships/image" Target="media/image28.jpeg"/><Relationship Id="rId4" Type="http://schemas.openxmlformats.org/officeDocument/2006/relationships/image" Target="media/image1.png"/><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theme" Target="theme/theme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oleObject" Target="embeddings/oleObject9.bin"/><Relationship Id="rId25" Type="http://schemas.openxmlformats.org/officeDocument/2006/relationships/image" Target="media/image14.png"/><Relationship Id="rId24" Type="http://schemas.openxmlformats.org/officeDocument/2006/relationships/oleObject" Target="embeddings/oleObject8.bin"/><Relationship Id="rId23" Type="http://schemas.openxmlformats.org/officeDocument/2006/relationships/image" Target="media/image13.png"/><Relationship Id="rId22" Type="http://schemas.openxmlformats.org/officeDocument/2006/relationships/oleObject" Target="embeddings/oleObject7.bin"/><Relationship Id="rId21" Type="http://schemas.openxmlformats.org/officeDocument/2006/relationships/image" Target="media/image12.png"/><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oleObject" Target="embeddings/oleObject5.bin"/><Relationship Id="rId17" Type="http://schemas.openxmlformats.org/officeDocument/2006/relationships/image" Target="media/image10.png"/><Relationship Id="rId16" Type="http://schemas.openxmlformats.org/officeDocument/2006/relationships/oleObject" Target="embeddings/oleObject4.bin"/><Relationship Id="rId15" Type="http://schemas.openxmlformats.org/officeDocument/2006/relationships/image" Target="media/image9.png"/><Relationship Id="rId14" Type="http://schemas.openxmlformats.org/officeDocument/2006/relationships/oleObject" Target="embeddings/oleObject3.bin"/><Relationship Id="rId13" Type="http://schemas.openxmlformats.org/officeDocument/2006/relationships/image" Target="media/image8.png"/><Relationship Id="rId12" Type="http://schemas.openxmlformats.org/officeDocument/2006/relationships/oleObject" Target="embeddings/oleObject2.bin"/><Relationship Id="rId11" Type="http://schemas.openxmlformats.org/officeDocument/2006/relationships/image" Target="media/image7.png"/><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10618</Words>
  <Characters>11011</Characters>
  <Lines>80</Lines>
  <Paragraphs>22</Paragraphs>
  <TotalTime>25</TotalTime>
  <ScaleCrop>false</ScaleCrop>
  <LinksUpToDate>false</LinksUpToDate>
  <CharactersWithSpaces>11011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2023-03-05T08:53:00Z</dcterms:created>
  <dc:creator>李 清华</dc:creator>
  <cp:lastModifiedBy>小花</cp:lastModifiedBy>
  <dcterms:modified xsi:type="dcterms:W3CDTF">2024-01-25T09:00:18Z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ABE841C14A1D4A769A5C2586B35F3B8A</vt:lpwstr>
  </property>
</Properties>
</file>